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E94DE5" w14:textId="253C5DF7" w:rsidR="0032091D" w:rsidRPr="0032091D" w:rsidRDefault="0032091D" w:rsidP="0032091D">
      <w:pPr>
        <w:pStyle w:val="NoSpacing"/>
        <w:jc w:val="center"/>
        <w:rPr>
          <w:b/>
          <w:bCs/>
          <w:sz w:val="28"/>
          <w:szCs w:val="28"/>
        </w:rPr>
      </w:pPr>
      <w:bookmarkStart w:id="0" w:name="_Hlk96422226"/>
      <w:bookmarkEnd w:id="0"/>
      <w:r w:rsidRPr="0032091D">
        <w:rPr>
          <w:b/>
          <w:bCs/>
          <w:sz w:val="28"/>
          <w:szCs w:val="28"/>
        </w:rPr>
        <w:t>National Operations Brief for Site of Work Protection.</w:t>
      </w:r>
    </w:p>
    <w:p w14:paraId="331CA4AA" w14:textId="77777777" w:rsidR="0032091D" w:rsidRDefault="0032091D" w:rsidP="00826463">
      <w:pPr>
        <w:pStyle w:val="NoSpacing"/>
        <w:rPr>
          <w:b/>
          <w:bCs/>
          <w:color w:val="ED7D31" w:themeColor="accent2"/>
          <w:sz w:val="20"/>
          <w:szCs w:val="20"/>
        </w:rPr>
      </w:pPr>
    </w:p>
    <w:p w14:paraId="6B72EE59" w14:textId="585E4227" w:rsidR="00386B62" w:rsidRPr="00461428" w:rsidRDefault="00386B62" w:rsidP="00826463">
      <w:pPr>
        <w:pStyle w:val="NoSpacing"/>
        <w:rPr>
          <w:b/>
          <w:bCs/>
          <w:color w:val="ED7D31" w:themeColor="accent2"/>
          <w:sz w:val="20"/>
          <w:szCs w:val="20"/>
        </w:rPr>
      </w:pPr>
      <w:r w:rsidRPr="00461428">
        <w:rPr>
          <w:b/>
          <w:bCs/>
          <w:color w:val="ED7D31" w:themeColor="accent2"/>
          <w:sz w:val="20"/>
          <w:szCs w:val="20"/>
        </w:rPr>
        <w:t>Additional Protection</w:t>
      </w:r>
    </w:p>
    <w:p w14:paraId="332EBBE7" w14:textId="77777777" w:rsidR="00386B62" w:rsidRPr="00826463" w:rsidRDefault="00386B62" w:rsidP="00826463">
      <w:pPr>
        <w:pStyle w:val="NoSpacing"/>
        <w:rPr>
          <w:sz w:val="20"/>
          <w:szCs w:val="20"/>
        </w:rPr>
      </w:pPr>
      <w:r w:rsidRPr="00826463">
        <w:rPr>
          <w:sz w:val="20"/>
          <w:szCs w:val="20"/>
        </w:rPr>
        <w:t xml:space="preserve">Additional Protection (AP) for Line Blockages is an essential part of the drive to keep our track workers safe and forms part of the ORR’s Improvement Notice served to Network Rail. </w:t>
      </w:r>
    </w:p>
    <w:p w14:paraId="22EB523B" w14:textId="77777777" w:rsidR="00386B62" w:rsidRPr="00C75D33" w:rsidRDefault="00386B62" w:rsidP="00386B62">
      <w:pPr>
        <w:pStyle w:val="NoSpacing"/>
        <w:rPr>
          <w:rFonts w:cstheme="minorHAnsi"/>
          <w:sz w:val="20"/>
          <w:szCs w:val="20"/>
        </w:rPr>
      </w:pPr>
    </w:p>
    <w:p w14:paraId="38BE5596" w14:textId="77777777" w:rsidR="00386B62" w:rsidRPr="00C75D33" w:rsidRDefault="00386B62" w:rsidP="00386B62">
      <w:pPr>
        <w:pStyle w:val="NoSpacing"/>
        <w:rPr>
          <w:rFonts w:cstheme="minorHAnsi"/>
          <w:sz w:val="20"/>
          <w:szCs w:val="20"/>
        </w:rPr>
      </w:pPr>
      <w:r w:rsidRPr="00C75D33">
        <w:rPr>
          <w:rFonts w:cstheme="minorHAnsi"/>
          <w:sz w:val="20"/>
          <w:szCs w:val="20"/>
        </w:rPr>
        <w:t xml:space="preserve">The Rule Book states that Additional Protection </w:t>
      </w:r>
      <w:r w:rsidRPr="00C75D33">
        <w:rPr>
          <w:rFonts w:cstheme="minorHAnsi"/>
          <w:b/>
          <w:bCs/>
          <w:sz w:val="20"/>
          <w:szCs w:val="20"/>
        </w:rPr>
        <w:t>must</w:t>
      </w:r>
      <w:r w:rsidRPr="00C75D33">
        <w:rPr>
          <w:rFonts w:cstheme="minorHAnsi"/>
          <w:sz w:val="20"/>
          <w:szCs w:val="20"/>
        </w:rPr>
        <w:t xml:space="preserve"> be used if the work being undertaken affects the safety of the line. However, any line blockage can, and should, be additionally protected.</w:t>
      </w:r>
    </w:p>
    <w:p w14:paraId="78E61F26" w14:textId="77777777" w:rsidR="00386B62" w:rsidRPr="00C75D33" w:rsidRDefault="00386B62" w:rsidP="00386B62">
      <w:pPr>
        <w:pStyle w:val="NoSpacing"/>
        <w:rPr>
          <w:rFonts w:cstheme="minorHAnsi"/>
          <w:sz w:val="20"/>
          <w:szCs w:val="20"/>
        </w:rPr>
      </w:pPr>
      <w:r w:rsidRPr="00C75D33">
        <w:rPr>
          <w:rFonts w:cstheme="minorHAnsi"/>
          <w:sz w:val="20"/>
          <w:szCs w:val="20"/>
        </w:rPr>
        <w:t xml:space="preserve">Furthermore, Handbook 8 IWA, COSS or PC Blocking the Line states that: </w:t>
      </w:r>
      <w:r w:rsidRPr="00C75D33">
        <w:rPr>
          <w:rFonts w:cstheme="minorHAnsi"/>
          <w:i/>
          <w:iCs/>
          <w:sz w:val="20"/>
          <w:szCs w:val="20"/>
        </w:rPr>
        <w:t>You must arrange for at least one of the following additional protection arrangements, as shown in section 2.3 to 2.9, to be provided on the line to be blocked whenever this is possible.</w:t>
      </w:r>
    </w:p>
    <w:p w14:paraId="4E3523DB" w14:textId="77777777" w:rsidR="004C51B6" w:rsidRPr="00C75D33" w:rsidRDefault="004C51B6" w:rsidP="004C51B6">
      <w:pPr>
        <w:pStyle w:val="NoSpacing"/>
        <w:rPr>
          <w:rFonts w:cstheme="minorHAnsi"/>
          <w:sz w:val="20"/>
          <w:szCs w:val="20"/>
        </w:rPr>
      </w:pPr>
    </w:p>
    <w:p w14:paraId="2D2EB1FC" w14:textId="46DA3131" w:rsidR="00386B62" w:rsidRPr="00C75D33" w:rsidRDefault="00386B62" w:rsidP="004C51B6">
      <w:pPr>
        <w:pStyle w:val="NoSpacing"/>
        <w:rPr>
          <w:rFonts w:cstheme="minorHAnsi"/>
          <w:sz w:val="20"/>
          <w:szCs w:val="20"/>
        </w:rPr>
      </w:pPr>
      <w:r w:rsidRPr="00C75D33">
        <w:rPr>
          <w:rFonts w:cstheme="minorHAnsi"/>
          <w:sz w:val="20"/>
          <w:szCs w:val="20"/>
        </w:rPr>
        <w:t xml:space="preserve">Additional Protection is supplementary protection to signal protection. Additional Protection is for </w:t>
      </w:r>
      <w:r w:rsidRPr="00C75D33">
        <w:rPr>
          <w:rFonts w:cstheme="minorHAnsi"/>
          <w:b/>
          <w:bCs/>
          <w:sz w:val="20"/>
          <w:szCs w:val="20"/>
        </w:rPr>
        <w:t>both</w:t>
      </w:r>
      <w:r w:rsidRPr="00C75D33">
        <w:rPr>
          <w:rFonts w:cstheme="minorHAnsi"/>
          <w:sz w:val="20"/>
          <w:szCs w:val="20"/>
        </w:rPr>
        <w:t xml:space="preserve"> the safety of the line and the protection of track workers.</w:t>
      </w:r>
    </w:p>
    <w:p w14:paraId="77F8FB47" w14:textId="77777777" w:rsidR="004C51B6" w:rsidRPr="00C75D33" w:rsidRDefault="004C51B6" w:rsidP="004C51B6">
      <w:pPr>
        <w:pStyle w:val="NoSpacing"/>
        <w:rPr>
          <w:rFonts w:cstheme="minorHAnsi"/>
          <w:sz w:val="20"/>
          <w:szCs w:val="20"/>
        </w:rPr>
      </w:pPr>
    </w:p>
    <w:p w14:paraId="0950D391" w14:textId="343B94E2" w:rsidR="00187055" w:rsidRPr="00C75D33" w:rsidRDefault="00386B62" w:rsidP="003238DF">
      <w:pPr>
        <w:pStyle w:val="NoSpacing"/>
        <w:rPr>
          <w:rFonts w:cstheme="minorHAnsi"/>
          <w:b/>
          <w:bCs/>
          <w:sz w:val="20"/>
          <w:szCs w:val="20"/>
        </w:rPr>
      </w:pPr>
      <w:r w:rsidRPr="00C75D33">
        <w:rPr>
          <w:rFonts w:cstheme="minorHAnsi"/>
          <w:sz w:val="20"/>
          <w:szCs w:val="20"/>
        </w:rPr>
        <w:t>More than one type of additional protection can be used to protect the line blockage/site of work and is to be recorded on the NR3180 form.</w:t>
      </w:r>
      <w:r w:rsidR="003238DF" w:rsidRPr="00C75D33">
        <w:rPr>
          <w:rFonts w:cstheme="minorHAnsi"/>
          <w:sz w:val="20"/>
          <w:szCs w:val="20"/>
        </w:rPr>
        <w:t xml:space="preserve"> This needs to be confirmed during the safety critical conversation when agreeing the details of the line blockage.</w:t>
      </w:r>
    </w:p>
    <w:p w14:paraId="2F317F61" w14:textId="77777777" w:rsidR="003238DF" w:rsidRPr="00C75D33" w:rsidRDefault="003238DF" w:rsidP="00CA549A">
      <w:pPr>
        <w:pStyle w:val="NoSpacing"/>
        <w:rPr>
          <w:rFonts w:cstheme="minorHAnsi"/>
          <w:b/>
          <w:bCs/>
          <w:sz w:val="20"/>
          <w:szCs w:val="20"/>
        </w:rPr>
      </w:pPr>
    </w:p>
    <w:p w14:paraId="3C67CFA3" w14:textId="3B6ABFE7" w:rsidR="003700CE" w:rsidRPr="00461428" w:rsidRDefault="003700CE" w:rsidP="00826463">
      <w:pPr>
        <w:pStyle w:val="NoSpacing"/>
        <w:rPr>
          <w:b/>
          <w:bCs/>
          <w:color w:val="ED7D31" w:themeColor="accent2"/>
          <w:sz w:val="20"/>
          <w:szCs w:val="20"/>
        </w:rPr>
      </w:pPr>
      <w:r w:rsidRPr="00461428">
        <w:rPr>
          <w:b/>
          <w:bCs/>
          <w:color w:val="ED7D31" w:themeColor="accent2"/>
          <w:sz w:val="20"/>
          <w:szCs w:val="20"/>
        </w:rPr>
        <w:t>Reaching a Clear Understanding – Safety Critical Conversation</w:t>
      </w:r>
    </w:p>
    <w:p w14:paraId="759568D1" w14:textId="5BC54CC3" w:rsidR="003700CE" w:rsidRPr="00826463" w:rsidRDefault="003700CE" w:rsidP="00826463">
      <w:pPr>
        <w:pStyle w:val="NoSpacing"/>
        <w:rPr>
          <w:sz w:val="20"/>
          <w:szCs w:val="20"/>
        </w:rPr>
      </w:pPr>
      <w:r w:rsidRPr="00826463">
        <w:rPr>
          <w:sz w:val="20"/>
          <w:szCs w:val="20"/>
        </w:rPr>
        <w:t>It is imperative that the person</w:t>
      </w:r>
      <w:r w:rsidR="00C75D33" w:rsidRPr="00826463">
        <w:rPr>
          <w:sz w:val="20"/>
          <w:szCs w:val="20"/>
        </w:rPr>
        <w:t xml:space="preserve"> (COSS/PC)</w:t>
      </w:r>
      <w:r w:rsidRPr="00826463">
        <w:rPr>
          <w:sz w:val="20"/>
          <w:szCs w:val="20"/>
        </w:rPr>
        <w:t xml:space="preserve"> taking the line blockage and the signaller reach a clear understanding on what is to take place with regards to the line blockage and additional protection. This includes what additional protection is going to be used, how it is going to be used and where it will be used.</w:t>
      </w:r>
    </w:p>
    <w:p w14:paraId="107C4E30" w14:textId="77777777" w:rsidR="00826463" w:rsidRDefault="00826463" w:rsidP="0027376B">
      <w:pPr>
        <w:pStyle w:val="NoSpacing"/>
        <w:rPr>
          <w:rFonts w:cstheme="minorHAnsi"/>
          <w:b/>
          <w:bCs/>
          <w:sz w:val="20"/>
          <w:szCs w:val="20"/>
        </w:rPr>
      </w:pPr>
    </w:p>
    <w:p w14:paraId="3064D9BE" w14:textId="186C5EC4" w:rsidR="0027376B" w:rsidRPr="00461428" w:rsidRDefault="0027376B" w:rsidP="0027376B">
      <w:pPr>
        <w:pStyle w:val="NoSpacing"/>
        <w:rPr>
          <w:rFonts w:cstheme="minorHAnsi"/>
          <w:b/>
          <w:bCs/>
          <w:color w:val="ED7D31" w:themeColor="accent2"/>
          <w:sz w:val="20"/>
          <w:szCs w:val="20"/>
        </w:rPr>
      </w:pPr>
      <w:r w:rsidRPr="00461428">
        <w:rPr>
          <w:rFonts w:cstheme="minorHAnsi"/>
          <w:b/>
          <w:bCs/>
          <w:color w:val="ED7D31" w:themeColor="accent2"/>
          <w:sz w:val="20"/>
          <w:szCs w:val="20"/>
        </w:rPr>
        <w:t>TCOD – Track Circuit Operating Device</w:t>
      </w:r>
    </w:p>
    <w:p w14:paraId="28021548" w14:textId="7849BD1D" w:rsidR="0027376B" w:rsidRPr="00C75D33" w:rsidRDefault="0027376B" w:rsidP="0027376B">
      <w:pPr>
        <w:pStyle w:val="NoSpacing"/>
        <w:rPr>
          <w:rFonts w:cstheme="minorHAnsi"/>
          <w:sz w:val="20"/>
          <w:szCs w:val="20"/>
        </w:rPr>
      </w:pPr>
      <w:r w:rsidRPr="00C75D33">
        <w:rPr>
          <w:rFonts w:cstheme="minorHAnsi"/>
          <w:sz w:val="20"/>
          <w:szCs w:val="20"/>
        </w:rPr>
        <w:t>TCODs effectively mimic a train occupying a track circuit with the signal interlocking subsequently maintaining the signal in rear at danger.</w:t>
      </w:r>
      <w:r w:rsidR="00833E87" w:rsidRPr="00C75D33">
        <w:rPr>
          <w:rFonts w:cstheme="minorHAnsi"/>
          <w:sz w:val="20"/>
          <w:szCs w:val="20"/>
        </w:rPr>
        <w:t xml:space="preserve"> TCODs</w:t>
      </w:r>
      <w:r w:rsidR="00B1697F" w:rsidRPr="00C75D33">
        <w:rPr>
          <w:rFonts w:cstheme="minorHAnsi"/>
          <w:sz w:val="20"/>
          <w:szCs w:val="20"/>
        </w:rPr>
        <w:t xml:space="preserve"> are secured to the running rails by the person applying additional protection</w:t>
      </w:r>
    </w:p>
    <w:p w14:paraId="074B2599" w14:textId="77777777" w:rsidR="003618EA" w:rsidRPr="00C75D33" w:rsidRDefault="003618EA" w:rsidP="0027376B">
      <w:pPr>
        <w:pStyle w:val="NoSpacing"/>
        <w:rPr>
          <w:rFonts w:cstheme="minorHAnsi"/>
          <w:sz w:val="20"/>
          <w:szCs w:val="20"/>
        </w:rPr>
      </w:pPr>
    </w:p>
    <w:p w14:paraId="4699525F" w14:textId="029EC0BE" w:rsidR="003618EA" w:rsidRPr="00C75D33" w:rsidRDefault="003618EA" w:rsidP="0027376B">
      <w:pPr>
        <w:pStyle w:val="NoSpacing"/>
        <w:rPr>
          <w:rFonts w:cstheme="minorHAnsi"/>
          <w:sz w:val="20"/>
          <w:szCs w:val="20"/>
        </w:rPr>
      </w:pPr>
      <w:r w:rsidRPr="00C75D33">
        <w:rPr>
          <w:rFonts w:cstheme="minorHAnsi"/>
          <w:sz w:val="20"/>
          <w:szCs w:val="20"/>
        </w:rPr>
        <w:t>Manual TCODs are authorised as Additional Protection for use at the site of work even when this is not going to hold the protecting signal at danger but will instead hold a different signal within the line blockage to danger. Treat this scenario exactly as you would any other scenario.</w:t>
      </w:r>
      <w:r w:rsidR="00202FAB">
        <w:rPr>
          <w:rFonts w:cstheme="minorHAnsi"/>
          <w:sz w:val="20"/>
          <w:szCs w:val="20"/>
        </w:rPr>
        <w:t xml:space="preserve"> </w:t>
      </w:r>
      <w:r w:rsidR="00202FAB" w:rsidRPr="00545CBA">
        <w:rPr>
          <w:rFonts w:ascii="Network Rail Sans" w:hAnsi="Network Rail Sans"/>
          <w:sz w:val="20"/>
          <w:szCs w:val="20"/>
        </w:rPr>
        <w:t>The requirement to place and maintain the Primary Protecting Signal to danger and apply reminder appliances remain the same.</w:t>
      </w:r>
    </w:p>
    <w:p w14:paraId="72F73B07" w14:textId="77777777" w:rsidR="0027376B" w:rsidRPr="00C75D33" w:rsidRDefault="0027376B" w:rsidP="0027376B">
      <w:pPr>
        <w:pStyle w:val="NoSpacing"/>
        <w:rPr>
          <w:rFonts w:cstheme="minorHAnsi"/>
          <w:sz w:val="20"/>
          <w:szCs w:val="20"/>
        </w:rPr>
      </w:pPr>
    </w:p>
    <w:p w14:paraId="37F4CD1B" w14:textId="77777777" w:rsidR="00826463" w:rsidRPr="00826463" w:rsidRDefault="00826463" w:rsidP="00826463">
      <w:pPr>
        <w:pStyle w:val="NoSpacing"/>
        <w:rPr>
          <w:sz w:val="20"/>
          <w:szCs w:val="20"/>
        </w:rPr>
      </w:pPr>
      <w:r w:rsidRPr="00826463">
        <w:rPr>
          <w:sz w:val="20"/>
          <w:szCs w:val="20"/>
        </w:rPr>
        <w:t xml:space="preserve">Before allowing a T-COD or Remotely activated T-COD (e.g., ZKL) to be applied or activated you must: </w:t>
      </w:r>
    </w:p>
    <w:p w14:paraId="456D477F" w14:textId="77777777" w:rsidR="00826463" w:rsidRPr="00826463" w:rsidRDefault="00826463" w:rsidP="00826463">
      <w:pPr>
        <w:pStyle w:val="NoSpacing"/>
        <w:numPr>
          <w:ilvl w:val="0"/>
          <w:numId w:val="2"/>
        </w:numPr>
        <w:rPr>
          <w:sz w:val="20"/>
          <w:szCs w:val="20"/>
        </w:rPr>
      </w:pPr>
      <w:r w:rsidRPr="00826463">
        <w:rPr>
          <w:sz w:val="20"/>
          <w:szCs w:val="20"/>
        </w:rPr>
        <w:t>ensure that it is authorised at the location, if necessary, by checking the Sectional Appendix and/or SBIs/local instructions</w:t>
      </w:r>
    </w:p>
    <w:p w14:paraId="0C5C9FF1" w14:textId="77777777" w:rsidR="00826463" w:rsidRPr="00826463" w:rsidRDefault="00826463" w:rsidP="00826463">
      <w:pPr>
        <w:pStyle w:val="NoSpacing"/>
        <w:numPr>
          <w:ilvl w:val="0"/>
          <w:numId w:val="2"/>
        </w:numPr>
        <w:rPr>
          <w:sz w:val="20"/>
          <w:szCs w:val="20"/>
        </w:rPr>
      </w:pPr>
      <w:r w:rsidRPr="00826463">
        <w:rPr>
          <w:sz w:val="20"/>
          <w:szCs w:val="20"/>
        </w:rPr>
        <w:t>the signalling equipment is working normally</w:t>
      </w:r>
    </w:p>
    <w:p w14:paraId="58709AFE" w14:textId="77777777" w:rsidR="00826463" w:rsidRPr="00826463" w:rsidRDefault="00826463" w:rsidP="00826463">
      <w:pPr>
        <w:pStyle w:val="NoSpacing"/>
        <w:numPr>
          <w:ilvl w:val="0"/>
          <w:numId w:val="2"/>
        </w:numPr>
        <w:rPr>
          <w:sz w:val="20"/>
          <w:szCs w:val="20"/>
        </w:rPr>
      </w:pPr>
      <w:r w:rsidRPr="00826463">
        <w:rPr>
          <w:sz w:val="20"/>
          <w:szCs w:val="20"/>
        </w:rPr>
        <w:t>confirm the work will not affect the correct operation of any level crossing or MSL or footpath crossing warning system </w:t>
      </w:r>
    </w:p>
    <w:p w14:paraId="72F6F62F" w14:textId="77777777" w:rsidR="00826463" w:rsidRPr="00826463" w:rsidRDefault="00826463" w:rsidP="00826463">
      <w:pPr>
        <w:pStyle w:val="NoSpacing"/>
        <w:numPr>
          <w:ilvl w:val="0"/>
          <w:numId w:val="2"/>
        </w:numPr>
        <w:rPr>
          <w:sz w:val="20"/>
          <w:szCs w:val="20"/>
        </w:rPr>
      </w:pPr>
      <w:r w:rsidRPr="00826463">
        <w:rPr>
          <w:sz w:val="20"/>
          <w:szCs w:val="20"/>
        </w:rPr>
        <w:t>The track circuit occupied will maintain the correct signal at danger to protect the line blockage and will not affect other signals </w:t>
      </w:r>
    </w:p>
    <w:p w14:paraId="074F6935" w14:textId="77777777" w:rsidR="00826463" w:rsidRPr="00826463" w:rsidRDefault="00826463" w:rsidP="00826463">
      <w:pPr>
        <w:pStyle w:val="NoSpacing"/>
        <w:numPr>
          <w:ilvl w:val="0"/>
          <w:numId w:val="2"/>
        </w:numPr>
        <w:rPr>
          <w:sz w:val="20"/>
          <w:szCs w:val="20"/>
        </w:rPr>
      </w:pPr>
      <w:r w:rsidRPr="00826463">
        <w:rPr>
          <w:sz w:val="20"/>
          <w:szCs w:val="20"/>
        </w:rPr>
        <w:t>The track circuit occupied will not prevent the signaller moving point equipment required for train movements</w:t>
      </w:r>
    </w:p>
    <w:p w14:paraId="6C897B95" w14:textId="77777777" w:rsidR="00487CC2" w:rsidRPr="00487CC2" w:rsidRDefault="00487CC2" w:rsidP="00487CC2">
      <w:pPr>
        <w:pStyle w:val="NoSpacing"/>
        <w:rPr>
          <w:rFonts w:cstheme="minorHAnsi"/>
          <w:sz w:val="20"/>
          <w:szCs w:val="20"/>
        </w:rPr>
      </w:pPr>
      <w:r w:rsidRPr="00487CC2">
        <w:rPr>
          <w:rFonts w:cstheme="minorHAnsi"/>
          <w:sz w:val="20"/>
          <w:szCs w:val="20"/>
        </w:rPr>
        <w:t>An identifying plate will be installed in the 4 foot to clearly show that a TCOD can be placed for an SBN. The plate will show which SBN it relates to, this will also be used for manual TCODs in TCOD prohibited areas which are listed in the Sectional Appendix.</w:t>
      </w:r>
    </w:p>
    <w:p w14:paraId="09BB91B7" w14:textId="77777777" w:rsidR="00C75D33" w:rsidRPr="00C75D33" w:rsidRDefault="00C75D33" w:rsidP="00487CC2">
      <w:pPr>
        <w:pStyle w:val="NoSpacing"/>
        <w:rPr>
          <w:rFonts w:cstheme="minorHAnsi"/>
          <w:sz w:val="20"/>
          <w:szCs w:val="20"/>
        </w:rPr>
      </w:pPr>
    </w:p>
    <w:p w14:paraId="510C0284" w14:textId="781BC9FA" w:rsidR="0027376B" w:rsidRPr="00C75D33" w:rsidRDefault="0027376B" w:rsidP="0027376B">
      <w:pPr>
        <w:rPr>
          <w:rFonts w:cstheme="minorHAnsi"/>
          <w:sz w:val="20"/>
          <w:szCs w:val="20"/>
        </w:rPr>
      </w:pPr>
      <w:r w:rsidRPr="00C75D33">
        <w:rPr>
          <w:rFonts w:cstheme="minorHAnsi"/>
          <w:sz w:val="20"/>
          <w:szCs w:val="20"/>
        </w:rPr>
        <w:t xml:space="preserve">TCODs can be used on </w:t>
      </w:r>
      <w:r w:rsidR="003B260A" w:rsidRPr="00C75D33">
        <w:rPr>
          <w:rFonts w:cstheme="minorHAnsi"/>
          <w:sz w:val="20"/>
          <w:szCs w:val="20"/>
        </w:rPr>
        <w:t xml:space="preserve">more than one </w:t>
      </w:r>
      <w:r w:rsidRPr="00C75D33">
        <w:rPr>
          <w:rFonts w:cstheme="minorHAnsi"/>
          <w:sz w:val="20"/>
          <w:szCs w:val="20"/>
        </w:rPr>
        <w:t xml:space="preserve">track circuit inside of an SBN, if the site of work moves within the limits of the SBN line </w:t>
      </w:r>
      <w:r w:rsidR="0070676F" w:rsidRPr="00C75D33">
        <w:rPr>
          <w:rFonts w:cstheme="minorHAnsi"/>
          <w:sz w:val="20"/>
          <w:szCs w:val="20"/>
        </w:rPr>
        <w:t>blockage</w:t>
      </w:r>
      <w:r w:rsidR="003B260A" w:rsidRPr="00C75D33">
        <w:rPr>
          <w:rFonts w:cstheme="minorHAnsi"/>
          <w:sz w:val="20"/>
          <w:szCs w:val="20"/>
        </w:rPr>
        <w:t xml:space="preserve"> so </w:t>
      </w:r>
      <w:r w:rsidR="00641D21" w:rsidRPr="00C75D33">
        <w:rPr>
          <w:rFonts w:cstheme="minorHAnsi"/>
          <w:sz w:val="20"/>
          <w:szCs w:val="20"/>
        </w:rPr>
        <w:t>will</w:t>
      </w:r>
      <w:r w:rsidR="003B260A" w:rsidRPr="00C75D33">
        <w:rPr>
          <w:rFonts w:cstheme="minorHAnsi"/>
          <w:sz w:val="20"/>
          <w:szCs w:val="20"/>
        </w:rPr>
        <w:t xml:space="preserve"> the TCOD</w:t>
      </w:r>
      <w:r w:rsidR="00A739C4" w:rsidRPr="00C75D33">
        <w:rPr>
          <w:rFonts w:cstheme="minorHAnsi"/>
          <w:sz w:val="20"/>
          <w:szCs w:val="20"/>
        </w:rPr>
        <w:t>. The TCOD will be placed</w:t>
      </w:r>
      <w:r w:rsidR="003B260A" w:rsidRPr="00C75D33">
        <w:rPr>
          <w:rFonts w:cstheme="minorHAnsi"/>
          <w:sz w:val="20"/>
          <w:szCs w:val="20"/>
        </w:rPr>
        <w:t xml:space="preserve"> on the agreed track circuit</w:t>
      </w:r>
      <w:r w:rsidR="00A739C4" w:rsidRPr="00C75D33">
        <w:rPr>
          <w:rFonts w:cstheme="minorHAnsi"/>
          <w:sz w:val="20"/>
          <w:szCs w:val="20"/>
        </w:rPr>
        <w:t xml:space="preserve"> to protect the first site of work, when work is completed</w:t>
      </w:r>
      <w:r w:rsidR="001147EF">
        <w:rPr>
          <w:rFonts w:cstheme="minorHAnsi"/>
          <w:sz w:val="20"/>
          <w:szCs w:val="20"/>
        </w:rPr>
        <w:t xml:space="preserve"> the COSS/PC</w:t>
      </w:r>
      <w:r w:rsidR="00DA4B41">
        <w:rPr>
          <w:rFonts w:cstheme="minorHAnsi"/>
          <w:sz w:val="20"/>
          <w:szCs w:val="20"/>
        </w:rPr>
        <w:t xml:space="preserve"> </w:t>
      </w:r>
      <w:r w:rsidR="00FA0A00">
        <w:rPr>
          <w:rFonts w:cstheme="minorHAnsi"/>
          <w:sz w:val="20"/>
          <w:szCs w:val="20"/>
        </w:rPr>
        <w:t xml:space="preserve">will </w:t>
      </w:r>
      <w:r w:rsidR="00DA4B41">
        <w:rPr>
          <w:rFonts w:cstheme="minorHAnsi"/>
          <w:sz w:val="20"/>
          <w:szCs w:val="20"/>
        </w:rPr>
        <w:t>contact the signaller to gain</w:t>
      </w:r>
      <w:r w:rsidR="00A739C4" w:rsidRPr="00C75D33">
        <w:rPr>
          <w:rFonts w:cstheme="minorHAnsi"/>
          <w:sz w:val="20"/>
          <w:szCs w:val="20"/>
        </w:rPr>
        <w:t xml:space="preserve"> permission to remove</w:t>
      </w:r>
      <w:r w:rsidR="003238DF" w:rsidRPr="00C75D33">
        <w:rPr>
          <w:rFonts w:cstheme="minorHAnsi"/>
          <w:sz w:val="20"/>
          <w:szCs w:val="20"/>
        </w:rPr>
        <w:t xml:space="preserve"> the TCOD</w:t>
      </w:r>
      <w:r w:rsidR="00A739C4" w:rsidRPr="00C75D33">
        <w:rPr>
          <w:rFonts w:cstheme="minorHAnsi"/>
          <w:sz w:val="20"/>
          <w:szCs w:val="20"/>
        </w:rPr>
        <w:t xml:space="preserve"> before the workgroup moves to the next site of work</w:t>
      </w:r>
      <w:r w:rsidR="00D95B62" w:rsidRPr="00C75D33">
        <w:rPr>
          <w:rFonts w:cstheme="minorHAnsi"/>
          <w:sz w:val="20"/>
          <w:szCs w:val="20"/>
        </w:rPr>
        <w:t xml:space="preserve"> confirming the track circuit has gone clear</w:t>
      </w:r>
      <w:r w:rsidR="00A739C4" w:rsidRPr="00C75D33">
        <w:rPr>
          <w:rFonts w:cstheme="minorHAnsi"/>
          <w:sz w:val="20"/>
          <w:szCs w:val="20"/>
        </w:rPr>
        <w:t>, when at the new site of work the COSS/PC will call the Signaller to request placing the TCOD</w:t>
      </w:r>
      <w:r w:rsidR="00C3428E">
        <w:rPr>
          <w:rFonts w:cstheme="minorHAnsi"/>
          <w:sz w:val="20"/>
          <w:szCs w:val="20"/>
        </w:rPr>
        <w:t xml:space="preserve"> on the agreed track circuit</w:t>
      </w:r>
      <w:r w:rsidR="00A739C4" w:rsidRPr="00C75D33">
        <w:rPr>
          <w:rFonts w:cstheme="minorHAnsi"/>
          <w:sz w:val="20"/>
          <w:szCs w:val="20"/>
        </w:rPr>
        <w:t xml:space="preserve"> to protect the new site of work</w:t>
      </w:r>
      <w:r w:rsidR="00545989">
        <w:rPr>
          <w:rFonts w:cstheme="minorHAnsi"/>
          <w:sz w:val="20"/>
          <w:szCs w:val="20"/>
        </w:rPr>
        <w:t xml:space="preserve"> confirming it has occupied the track circuit</w:t>
      </w:r>
      <w:r w:rsidR="00A739C4" w:rsidRPr="00C75D33">
        <w:rPr>
          <w:rFonts w:cstheme="minorHAnsi"/>
          <w:sz w:val="20"/>
          <w:szCs w:val="20"/>
        </w:rPr>
        <w:t>.</w:t>
      </w:r>
    </w:p>
    <w:p w14:paraId="4F3A453B" w14:textId="2D0F7615" w:rsidR="0027376B" w:rsidRDefault="00A739C4" w:rsidP="0027376B">
      <w:pPr>
        <w:rPr>
          <w:rFonts w:cstheme="minorHAnsi"/>
          <w:sz w:val="20"/>
          <w:szCs w:val="20"/>
        </w:rPr>
      </w:pPr>
      <w:r w:rsidRPr="00C75D33">
        <w:rPr>
          <w:rFonts w:cstheme="minorHAnsi"/>
          <w:sz w:val="20"/>
          <w:szCs w:val="20"/>
        </w:rPr>
        <w:lastRenderedPageBreak/>
        <w:t>Before the line blockage is given up the COSS/PC will gain permission to remove</w:t>
      </w:r>
      <w:r w:rsidR="0027376B" w:rsidRPr="00C75D33">
        <w:rPr>
          <w:rFonts w:cstheme="minorHAnsi"/>
          <w:sz w:val="20"/>
          <w:szCs w:val="20"/>
        </w:rPr>
        <w:t>/de-activate</w:t>
      </w:r>
      <w:r w:rsidRPr="00C75D33">
        <w:rPr>
          <w:rFonts w:cstheme="minorHAnsi"/>
          <w:sz w:val="20"/>
          <w:szCs w:val="20"/>
        </w:rPr>
        <w:t xml:space="preserve"> the TCOD/</w:t>
      </w:r>
      <w:r w:rsidR="0000223D" w:rsidRPr="00C75D33">
        <w:rPr>
          <w:rFonts w:cstheme="minorHAnsi"/>
          <w:sz w:val="20"/>
          <w:szCs w:val="20"/>
        </w:rPr>
        <w:t>ZKL and</w:t>
      </w:r>
      <w:r w:rsidR="0027376B" w:rsidRPr="00C75D33">
        <w:rPr>
          <w:rFonts w:cstheme="minorHAnsi"/>
          <w:sz w:val="20"/>
          <w:szCs w:val="20"/>
        </w:rPr>
        <w:t xml:space="preserve"> confirm that the track circuits(s) are showing clear</w:t>
      </w:r>
      <w:r w:rsidR="003238DF" w:rsidRPr="00C75D33">
        <w:rPr>
          <w:rFonts w:cstheme="minorHAnsi"/>
          <w:sz w:val="20"/>
          <w:szCs w:val="20"/>
        </w:rPr>
        <w:t>.</w:t>
      </w:r>
    </w:p>
    <w:p w14:paraId="08FDE574" w14:textId="67A13AAD" w:rsidR="00117C22" w:rsidRPr="00461428" w:rsidRDefault="00117C22" w:rsidP="00556379">
      <w:pPr>
        <w:rPr>
          <w:rFonts w:cstheme="minorHAnsi"/>
          <w:b/>
          <w:color w:val="ED7D31" w:themeColor="accent2"/>
          <w:sz w:val="20"/>
          <w:szCs w:val="20"/>
        </w:rPr>
      </w:pPr>
      <w:r w:rsidRPr="00461428">
        <w:rPr>
          <w:rFonts w:cstheme="minorHAnsi"/>
          <w:b/>
          <w:color w:val="ED7D31" w:themeColor="accent2"/>
          <w:sz w:val="20"/>
          <w:szCs w:val="20"/>
        </w:rPr>
        <w:t>Placing &amp; Removing a Track Circuit Operating Device (T-COD)</w:t>
      </w:r>
    </w:p>
    <w:p w14:paraId="0F585AA0" w14:textId="77777777" w:rsidR="00117C22" w:rsidRPr="00117C22" w:rsidRDefault="00117C22" w:rsidP="00117C22">
      <w:pPr>
        <w:rPr>
          <w:rFonts w:cstheme="minorHAnsi"/>
          <w:color w:val="000000" w:themeColor="text1"/>
          <w:sz w:val="20"/>
          <w:szCs w:val="20"/>
        </w:rPr>
      </w:pPr>
      <w:r w:rsidRPr="00117C22">
        <w:rPr>
          <w:rFonts w:cstheme="minorHAnsi"/>
          <w:noProof/>
          <w:color w:val="000000" w:themeColor="text1"/>
          <w:sz w:val="20"/>
          <w:szCs w:val="20"/>
        </w:rPr>
        <mc:AlternateContent>
          <mc:Choice Requires="wps">
            <w:drawing>
              <wp:anchor distT="0" distB="0" distL="114300" distR="114300" simplePos="0" relativeHeight="251662336" behindDoc="0" locked="0" layoutInCell="1" allowOverlap="1" wp14:anchorId="28435593" wp14:editId="3A36A505">
                <wp:simplePos x="0" y="0"/>
                <wp:positionH relativeFrom="column">
                  <wp:posOffset>2277533</wp:posOffset>
                </wp:positionH>
                <wp:positionV relativeFrom="paragraph">
                  <wp:posOffset>556682</wp:posOffset>
                </wp:positionV>
                <wp:extent cx="160867" cy="408517"/>
                <wp:effectExtent l="0" t="0" r="67945" b="48895"/>
                <wp:wrapNone/>
                <wp:docPr id="5" name="Straight Arrow Connector 5"/>
                <wp:cNvGraphicFramePr/>
                <a:graphic xmlns:a="http://schemas.openxmlformats.org/drawingml/2006/main">
                  <a:graphicData uri="http://schemas.microsoft.com/office/word/2010/wordprocessingShape">
                    <wps:wsp>
                      <wps:cNvCnPr/>
                      <wps:spPr>
                        <a:xfrm>
                          <a:off x="0" y="0"/>
                          <a:ext cx="160867" cy="408517"/>
                        </a:xfrm>
                        <a:prstGeom prst="straightConnector1">
                          <a:avLst/>
                        </a:prstGeom>
                        <a:ln w="19050">
                          <a:tailEnd type="triangle"/>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7010E528" id="_x0000_t32" coordsize="21600,21600" o:spt="32" o:oned="t" path="m,l21600,21600e" filled="f">
                <v:path arrowok="t" fillok="f" o:connecttype="none"/>
                <o:lock v:ext="edit" shapetype="t"/>
              </v:shapetype>
              <v:shape id="Straight Arrow Connector 5" o:spid="_x0000_s1026" type="#_x0000_t32" style="position:absolute;margin-left:179.35pt;margin-top:43.85pt;width:12.65pt;height:32.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1oJu3wEAAA4EAAAOAAAAZHJzL2Uyb0RvYy54bWysU9uO0zAUfEfiHyy/0yQV7Zaq6Qp1gRcE&#10;1S58gNc5biz5pmPTtH/PsZPNIkBIIF6c+DJzZsbHu9uLNewMGLV3LW8WNWfgpO+0O7X865f3rzac&#10;xSRcJ4x30PIrRH67f/liN4QtLH3vTQfIiMTF7RBa3qcUtlUVZQ9WxIUP4GhTebQi0RRPVYdiIHZr&#10;qmVdr6vBYxfQS4iRVu/GTb4v/EqBTJ+VipCYaTlpS2XEMj7msdrvxPaEIvRaTjLEP6iwQjsqOlPd&#10;iSTYN9S/UFkt0Uev0kJ6W3mltITigdw09U9uHnoRoHihcGKYY4r/j1Z+Oh+R6a7lK86csHRFDwmF&#10;PvWJvUX0Azt45yhGj2yV0xpC3BLo4I44zWI4YrZ+UWjzl0yxS0n4OicMl8QkLTbrerO+4UzS1ut6&#10;s2puMmf1DA4Y0wfwluWflsdJyyyiKSmL88eYRuATIFc2jg1U4029qsuxJLR55zqWroF8JdTCnQxM&#10;FY2jwtnNqL/8pauBkegeFKWSFRem0o9wMMjOgjpJSAkuLWcmOp1hShszA0cJfwRO5zMUSq/+DXhG&#10;lMrepRlstfP4O9np0kyS1Xj+KYHRd47g0XfXcrMlGmq6cjvTA8ld/eO8wJ+f8f47AAAA//8DAFBL&#10;AwQUAAYACAAAACEAN4rM6d8AAAAKAQAADwAAAGRycy9kb3ducmV2LnhtbEyPwUrEMBCG74LvEEbw&#10;UtzUrnVLbbqoICyCB6sPkG3Gtmwz6Sbpbn17x5OehmE+/vn+arvYUZzQh8GRgttVCgKpdWagTsHn&#10;x8tNASJETUaPjlDBNwbY1pcXlS6NO9M7nprYCQ6hUGoFfYxTKWVoe7Q6rNyExLcv562OvPpOGq/P&#10;HG5HmaXpvbR6IP7Q6wmfe2wPzWwVJLuDT95yN4fjscn865Ts7NOs1PXV8vgAIuIS/2D41Wd1qNlp&#10;72YyQYwK1nmxYVRBseHJwLq443J7JvMsBVlX8n+F+gcAAP//AwBQSwECLQAUAAYACAAAACEAtoM4&#10;kv4AAADhAQAAEwAAAAAAAAAAAAAAAAAAAAAAW0NvbnRlbnRfVHlwZXNdLnhtbFBLAQItABQABgAI&#10;AAAAIQA4/SH/1gAAAJQBAAALAAAAAAAAAAAAAAAAAC8BAABfcmVscy8ucmVsc1BLAQItABQABgAI&#10;AAAAIQBY1oJu3wEAAA4EAAAOAAAAAAAAAAAAAAAAAC4CAABkcnMvZTJvRG9jLnhtbFBLAQItABQA&#10;BgAIAAAAIQA3iszp3wAAAAoBAAAPAAAAAAAAAAAAAAAAADkEAABkcnMvZG93bnJldi54bWxQSwUG&#10;AAAAAAQABADzAAAARQUAAAAA&#10;" strokecolor="#ed7d31 [3205]" strokeweight="1.5pt">
                <v:stroke endarrow="block" joinstyle="miter"/>
              </v:shape>
            </w:pict>
          </mc:Fallback>
        </mc:AlternateContent>
      </w:r>
      <w:r w:rsidRPr="00117C22">
        <w:rPr>
          <w:rFonts w:cstheme="minorHAnsi"/>
          <w:noProof/>
          <w:color w:val="000000" w:themeColor="text1"/>
          <w:sz w:val="20"/>
          <w:szCs w:val="20"/>
        </w:rPr>
        <mc:AlternateContent>
          <mc:Choice Requires="wps">
            <w:drawing>
              <wp:anchor distT="0" distB="0" distL="114300" distR="114300" simplePos="0" relativeHeight="251663360" behindDoc="0" locked="0" layoutInCell="1" allowOverlap="1" wp14:anchorId="5D6588A2" wp14:editId="1B378433">
                <wp:simplePos x="0" y="0"/>
                <wp:positionH relativeFrom="column">
                  <wp:posOffset>2446867</wp:posOffset>
                </wp:positionH>
                <wp:positionV relativeFrom="paragraph">
                  <wp:posOffset>505883</wp:posOffset>
                </wp:positionV>
                <wp:extent cx="1608666" cy="685800"/>
                <wp:effectExtent l="0" t="0" r="67945" b="57150"/>
                <wp:wrapNone/>
                <wp:docPr id="6" name="Straight Arrow Connector 6"/>
                <wp:cNvGraphicFramePr/>
                <a:graphic xmlns:a="http://schemas.openxmlformats.org/drawingml/2006/main">
                  <a:graphicData uri="http://schemas.microsoft.com/office/word/2010/wordprocessingShape">
                    <wps:wsp>
                      <wps:cNvCnPr/>
                      <wps:spPr>
                        <a:xfrm>
                          <a:off x="0" y="0"/>
                          <a:ext cx="1608666" cy="685800"/>
                        </a:xfrm>
                        <a:prstGeom prst="straightConnector1">
                          <a:avLst/>
                        </a:prstGeom>
                        <a:ln w="19050">
                          <a:solidFill>
                            <a:srgbClr val="FFFF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DCA1CA2" id="Straight Arrow Connector 6" o:spid="_x0000_s1026" type="#_x0000_t32" style="position:absolute;margin-left:192.65pt;margin-top:39.85pt;width:126.65pt;height:5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D1c8gEAAEMEAAAOAAAAZHJzL2Uyb0RvYy54bWysU9uO0zAQfUfiHyy/0yQrbVSqpivUpbwg&#10;qFj4ANexE0u+aWya5O8ZO2mWm5BA5MHxZc6cOcfj/cNoNLkKCMrZhlabkhJhuWuV7Rr65fPp1ZaS&#10;EJltmXZWNHQSgT4cXr7YD34n7lzvdCuAYBIbdoNvaB+j3xVF4L0wLGycFxYPpQPDIi6hK1pgA2Y3&#10;urgry7oYHLQeHBch4O7jfEgPOb+UgsePUgYRiW4o1hbzCHm8pLE47NmuA+Z7xZcy2D9UYZiySLqm&#10;emSRka+gfkllFAcXnIwb7kzhpFRcZA2opip/UvPUMy+yFjQn+NWm8P/S8g/XMxDVNrSmxDKDV/QU&#10;gamuj+QNgBvI0VmLNjogdXJr8GGHoKM9w7IK/gxJ+ijBpD+KImN2eFodFmMkHDerutzWNVJxPKu3&#10;99syX0HxjPYQ4jvhDEmThoalmLWKKtvMru9DRH4E3gCJWlsyIMnr8r7MYcFp1Z6U1ukwQHc5aiBX&#10;hr1wwm/l/iEsMqXf2pbEyaMZERSznRZJOpJpi79kwSw6z+KkxUz+SUi0Msmc2VMTi5WScS5srNZM&#10;GJ1gEstbgUvZfwIu8QkqcoP/DXhFZGZn4wo2yjr4XdlxvJUs5/ibA7PuZMHFtVNuh2wNdmr2anlV&#10;6Sl8v87w57d/+AYAAP//AwBQSwMEFAAGAAgAAAAhAJN/LUXhAAAACgEAAA8AAABkcnMvZG93bnJl&#10;di54bWxMj0FPg0AQhe8m/ofNmHizi8XCiiyN0ejBxESpiR6nsALCzhJ222J/veNJj5P35b1v8vVs&#10;B7E3k+8cabhcRCAMVa7uqNHwtnm4UCB8QKpxcGQ0fBsP6+L0JMesdgd6NfsyNIJLyGeooQ1hzKT0&#10;VWss+oUbDXH26SaLgc+pkfWEBy63g1xGUSItdsQLLY7mrjVVX+6shpUqP+6X/VX02L8843Hjv96f&#10;1FHr87P59gZEMHP4g+FXn9WhYKet21HtxaAhVquYUQ3pdQqCgSRWCYgtkypNQRa5/P9C8QMAAP//&#10;AwBQSwECLQAUAAYACAAAACEAtoM4kv4AAADhAQAAEwAAAAAAAAAAAAAAAAAAAAAAW0NvbnRlbnRf&#10;VHlwZXNdLnhtbFBLAQItABQABgAIAAAAIQA4/SH/1gAAAJQBAAALAAAAAAAAAAAAAAAAAC8BAABf&#10;cmVscy8ucmVsc1BLAQItABQABgAIAAAAIQDqUD1c8gEAAEMEAAAOAAAAAAAAAAAAAAAAAC4CAABk&#10;cnMvZTJvRG9jLnhtbFBLAQItABQABgAIAAAAIQCTfy1F4QAAAAoBAAAPAAAAAAAAAAAAAAAAAEwE&#10;AABkcnMvZG93bnJldi54bWxQSwUGAAAAAAQABADzAAAAWgUAAAAA&#10;" strokecolor="yellow" strokeweight="1.5pt">
                <v:stroke endarrow="block" joinstyle="miter"/>
              </v:shape>
            </w:pict>
          </mc:Fallback>
        </mc:AlternateContent>
      </w:r>
      <w:r w:rsidRPr="00117C22">
        <w:rPr>
          <w:rFonts w:cstheme="minorHAnsi"/>
          <w:color w:val="000000" w:themeColor="text1"/>
          <w:sz w:val="20"/>
          <w:szCs w:val="20"/>
        </w:rPr>
        <w:t xml:space="preserve">There are 2 types of T-COD, </w:t>
      </w:r>
      <w:r w:rsidRPr="00117C22">
        <w:rPr>
          <w:rFonts w:cstheme="minorHAnsi"/>
          <w:b/>
          <w:color w:val="ED7D31" w:themeColor="accent2"/>
          <w:sz w:val="20"/>
          <w:szCs w:val="20"/>
        </w:rPr>
        <w:t>Orange</w:t>
      </w:r>
      <w:r w:rsidRPr="00117C22">
        <w:rPr>
          <w:rFonts w:cstheme="minorHAnsi"/>
          <w:color w:val="000000" w:themeColor="text1"/>
          <w:sz w:val="20"/>
          <w:szCs w:val="20"/>
        </w:rPr>
        <w:t xml:space="preserve"> (SAFE 7265) for </w:t>
      </w:r>
      <w:r w:rsidRPr="00117C22">
        <w:rPr>
          <w:rFonts w:cstheme="minorHAnsi"/>
          <w:b/>
          <w:color w:val="ED7D31" w:themeColor="accent2"/>
          <w:sz w:val="20"/>
          <w:szCs w:val="20"/>
        </w:rPr>
        <w:t>bull head rail</w:t>
      </w:r>
      <w:r w:rsidRPr="00117C22">
        <w:rPr>
          <w:rFonts w:cstheme="minorHAnsi"/>
          <w:color w:val="000000" w:themeColor="text1"/>
          <w:sz w:val="20"/>
          <w:szCs w:val="20"/>
        </w:rPr>
        <w:t xml:space="preserve">, and </w:t>
      </w:r>
      <w:r w:rsidRPr="00117C22">
        <w:rPr>
          <w:rFonts w:cstheme="minorHAnsi"/>
          <w:b/>
          <w:color w:val="FFD966" w:themeColor="accent4" w:themeTint="99"/>
          <w:sz w:val="20"/>
          <w:szCs w:val="20"/>
        </w:rPr>
        <w:t>yellow</w:t>
      </w:r>
      <w:r w:rsidRPr="00117C22">
        <w:rPr>
          <w:rFonts w:cstheme="minorHAnsi"/>
          <w:color w:val="000000" w:themeColor="text1"/>
          <w:sz w:val="20"/>
          <w:szCs w:val="20"/>
        </w:rPr>
        <w:t xml:space="preserve"> (SAFE 7239) for </w:t>
      </w:r>
      <w:r w:rsidRPr="00117C22">
        <w:rPr>
          <w:rFonts w:cstheme="minorHAnsi"/>
          <w:b/>
          <w:color w:val="FFD966" w:themeColor="accent4" w:themeTint="99"/>
          <w:sz w:val="20"/>
          <w:szCs w:val="20"/>
        </w:rPr>
        <w:t>flat bottom rail</w:t>
      </w:r>
      <w:r w:rsidRPr="00117C22">
        <w:rPr>
          <w:rFonts w:cstheme="minorHAnsi"/>
          <w:color w:val="FFFF00"/>
          <w:sz w:val="20"/>
          <w:szCs w:val="20"/>
        </w:rPr>
        <w:t>.</w:t>
      </w:r>
      <w:r w:rsidRPr="00117C22">
        <w:rPr>
          <w:rFonts w:cstheme="minorHAnsi"/>
          <w:color w:val="000000" w:themeColor="text1"/>
          <w:sz w:val="20"/>
          <w:szCs w:val="20"/>
        </w:rPr>
        <w:t xml:space="preserve"> An Orange T-COD will not fit onto a flat bottom rail and vice versa, so it is important you have the right T-COD for the right rail.</w:t>
      </w:r>
    </w:p>
    <w:p w14:paraId="4B996A8A" w14:textId="77777777" w:rsidR="00117C22" w:rsidRPr="00117C22" w:rsidRDefault="00117C22" w:rsidP="00117C22">
      <w:pPr>
        <w:jc w:val="center"/>
        <w:rPr>
          <w:rFonts w:cstheme="minorHAnsi"/>
          <w:color w:val="000000" w:themeColor="text1"/>
          <w:sz w:val="20"/>
          <w:szCs w:val="20"/>
        </w:rPr>
      </w:pPr>
      <w:r w:rsidRPr="00117C22">
        <w:rPr>
          <w:rFonts w:cstheme="minorHAnsi"/>
          <w:noProof/>
          <w:color w:val="000000" w:themeColor="text1"/>
          <w:sz w:val="20"/>
          <w:szCs w:val="20"/>
        </w:rPr>
        <mc:AlternateContent>
          <mc:Choice Requires="wps">
            <w:drawing>
              <wp:anchor distT="0" distB="0" distL="114300" distR="114300" simplePos="0" relativeHeight="251661312" behindDoc="0" locked="0" layoutInCell="1" allowOverlap="1" wp14:anchorId="3BD747BC" wp14:editId="4CE7BB68">
                <wp:simplePos x="0" y="0"/>
                <wp:positionH relativeFrom="column">
                  <wp:posOffset>4011930</wp:posOffset>
                </wp:positionH>
                <wp:positionV relativeFrom="paragraph">
                  <wp:posOffset>346075</wp:posOffset>
                </wp:positionV>
                <wp:extent cx="975360" cy="967740"/>
                <wp:effectExtent l="19050" t="19050" r="15240" b="22860"/>
                <wp:wrapNone/>
                <wp:docPr id="4" name="Oval 4"/>
                <wp:cNvGraphicFramePr/>
                <a:graphic xmlns:a="http://schemas.openxmlformats.org/drawingml/2006/main">
                  <a:graphicData uri="http://schemas.microsoft.com/office/word/2010/wordprocessingShape">
                    <wps:wsp>
                      <wps:cNvSpPr/>
                      <wps:spPr>
                        <a:xfrm>
                          <a:off x="0" y="0"/>
                          <a:ext cx="975360" cy="967740"/>
                        </a:xfrm>
                        <a:prstGeom prst="ellipse">
                          <a:avLst/>
                        </a:prstGeom>
                        <a:noFill/>
                        <a:ln w="38100">
                          <a:solidFill>
                            <a:srgbClr val="FFFF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7847953" id="Oval 4" o:spid="_x0000_s1026" style="position:absolute;margin-left:315.9pt;margin-top:27.25pt;width:76.8pt;height:76.2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PLMYmgIAAIwFAAAOAAAAZHJzL2Uyb0RvYy54bWysVE1vGyEQvVfqf0Dcm107TpxYXkeWI1eV&#10;osRqUuWMWfAisQwF7LX76zuwH7GaqIeqe2CBmXnDewwzvzvWmhyE8wpMQUcXOSXCcCiV2RX0x8v6&#10;yw0lPjBTMg1GFPQkPL1bfP40b+xMjKECXQpHEMT4WWMLWoVgZ1nmeSVq5i/ACoNGCa5mAZdul5WO&#10;NYhe62yc59dZA660DrjwHnfvWyNdJHwpBQ9PUnoRiC4oni2k0aVxG8dsMWeznWO2Urw7BvuHU9RM&#10;GUw6QN2zwMjeqXdQteIOPMhwwaHOQErFReKAbEb5H2yeK2ZF4oLieDvI5P8fLH88bBxRZUEnlBhW&#10;4xU9HZgmk6hMY/0MHZ7txnUrj9NI8yhdHf9IgByTmqdBTXEMhOPm7fTq8ho152i6vZ5OJ0nt7C3Y&#10;Oh++CqhJnBRUaK2sj3zZjB0efMCc6N17xW0Da6V1ujNtSFPQy5tRnqcID1qV0Rr9vNttV9oRZFLQ&#10;NX7o1KKduSG2Npgismx5pVk4aRExtPkuJCqDTMZthliTYoBlnAsTRq2pYqVos13l+PXJ+ohEJAFG&#10;ZImnHLA7gN6zBemx2zN3/jFUpJIegjvqfwseIlJmMGEIrpUB9xEzjay6zK1/L1IrTVRpC+UJ68ZB&#10;+6C85WuFl/jAfNgwhy8I7x27QnjCQWrAm4JuRkkF7tdH+9EfCxutlDT4Igvqf+6ZE5TobwZL/nY0&#10;wRIiIS0mV9MxLty5ZXtuMft6BXj7I+w/lqdp9A+6n0oH9Ss2j2XMiiZmOOYuKA+uX6xC2ymw/XCx&#10;XCY3fLaWhQfzbHkEj6rGCn05vjJnu0oO+AQeoX+976q59Y2RBpb7AFKlUn/TtdMbn3wqnK49xZ5y&#10;vk5eb0108RsAAP//AwBQSwMEFAAGAAgAAAAhAGAyIivfAAAACgEAAA8AAABkcnMvZG93bnJldi54&#10;bWxMj81OwzAQhO9IvIO1SFwQdVqaUEKcClXAoTcKD+DGS2w1Xgfb+SlPjznBcTSjmW+q7Ww7NqIP&#10;xpGA5SIDhtQ4ZagV8PH+crsBFqIkJTtHKOCMAbb15UUlS+UmesPxEFuWSiiUUoCOsS85D41GK8PC&#10;9UjJ+3Teypikb7nyckrltuOrLCu4lYbSgpY97jQ2p8NgBZy+0TxPe/Raqa/d69ia/mY4C3F9NT89&#10;Aos4x78w/OIndKgT09ENpALrBBR3y4QeBeTrHFgK3G/yNbCjgFVWPACvK/7/Qv0DAAD//wMAUEsB&#10;Ai0AFAAGAAgAAAAhALaDOJL+AAAA4QEAABMAAAAAAAAAAAAAAAAAAAAAAFtDb250ZW50X1R5cGVz&#10;XS54bWxQSwECLQAUAAYACAAAACEAOP0h/9YAAACUAQAACwAAAAAAAAAAAAAAAAAvAQAAX3JlbHMv&#10;LnJlbHNQSwECLQAUAAYACAAAACEANjyzGJoCAACMBQAADgAAAAAAAAAAAAAAAAAuAgAAZHJzL2Uy&#10;b0RvYy54bWxQSwECLQAUAAYACAAAACEAYDIiK98AAAAKAQAADwAAAAAAAAAAAAAAAAD0BAAAZHJz&#10;L2Rvd25yZXYueG1sUEsFBgAAAAAEAAQA8wAAAAAGAAAAAA==&#10;" filled="f" strokecolor="yellow" strokeweight="3pt">
                <v:stroke joinstyle="miter"/>
              </v:oval>
            </w:pict>
          </mc:Fallback>
        </mc:AlternateContent>
      </w:r>
      <w:r w:rsidRPr="00117C22">
        <w:rPr>
          <w:rFonts w:cstheme="minorHAnsi"/>
          <w:noProof/>
          <w:color w:val="000000" w:themeColor="text1"/>
          <w:sz w:val="20"/>
          <w:szCs w:val="20"/>
        </w:rPr>
        <mc:AlternateContent>
          <mc:Choice Requires="wps">
            <w:drawing>
              <wp:anchor distT="0" distB="0" distL="114300" distR="114300" simplePos="0" relativeHeight="251660288" behindDoc="0" locked="0" layoutInCell="1" allowOverlap="1" wp14:anchorId="710D62E3" wp14:editId="2997A410">
                <wp:simplePos x="0" y="0"/>
                <wp:positionH relativeFrom="column">
                  <wp:posOffset>2133600</wp:posOffset>
                </wp:positionH>
                <wp:positionV relativeFrom="paragraph">
                  <wp:posOffset>304165</wp:posOffset>
                </wp:positionV>
                <wp:extent cx="975360" cy="967740"/>
                <wp:effectExtent l="19050" t="19050" r="15240" b="22860"/>
                <wp:wrapNone/>
                <wp:docPr id="2" name="Oval 2"/>
                <wp:cNvGraphicFramePr/>
                <a:graphic xmlns:a="http://schemas.openxmlformats.org/drawingml/2006/main">
                  <a:graphicData uri="http://schemas.microsoft.com/office/word/2010/wordprocessingShape">
                    <wps:wsp>
                      <wps:cNvSpPr/>
                      <wps:spPr>
                        <a:xfrm>
                          <a:off x="0" y="0"/>
                          <a:ext cx="975360" cy="967740"/>
                        </a:xfrm>
                        <a:prstGeom prst="ellipse">
                          <a:avLst/>
                        </a:prstGeom>
                        <a:noFill/>
                        <a:ln w="38100">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4D6F703" id="Oval 2" o:spid="_x0000_s1026" style="position:absolute;margin-left:168pt;margin-top:23.95pt;width:76.8pt;height:76.2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8KMlwIAAI8FAAAOAAAAZHJzL2Uyb0RvYy54bWysVE1PGzEQvVfqf7B8L7sbPgIRGxSBqCoh&#10;QEDF2Xht1pLtcW0nm/TXd+z9IALUQ9UcHM/OzBu/5/GcX2yNJhvhgwJb0+qgpERYDo2yrzX9+XT9&#10;7ZSSEJltmAYraroTgV4sv34579xCzKAF3QhPEMSGRedq2sboFkUReCsMCwfghEWnBG9YRNO/Fo1n&#10;HaIbXczK8qTowDfOAxch4Ner3kmXGV9KweOdlEFEomuKZ4t59Xl9SWuxPGeLV89cq/hwDPYPpzBM&#10;WSw6QV2xyMjaqw9QRnEPAWQ84GAKkFJxkTkgm6p8x+axZU5kLihOcJNM4f/B8tvNvSeqqemMEssM&#10;XtHdhmkyS8p0Liww4NHd+8EKuE00t9Kb9I8EyDaruZvUFNtIOH48mx8fnqDmHF1nJ/P5UVa7eEt2&#10;PsTvAgxJm5oKrZULiS9bsM1NiFgTo8eo9NnCtdI635m2pKvp4WlVljkjgFZN8qa43D7iUnuCXGrK&#10;OBc2ZkoIuBeJlrZYJRHtqeVd3GmRYLR9EBLFQTKzvkhqy/e4Ve9qWSP6cscl/pJ+qdiYka0MmJAl&#10;HnTCHgDGyP0zVwPMEJ9SRe7qKXlg/7fkKSNXBhunZKMs+M+Y6ThV7uNHkXppkkov0OywdTz0byo4&#10;fq3wHm9YiPfM4yPCq8fBEO9wkRrwsmDYUdKC//3Z9xSPvY1eSjp8lDUNv9bMC0r0D4tdf1YdYReR&#10;mI2j4/kMDb/vedn32LW5BLz+CkeQ43mb4qMet9KDecb5sUpV0cUsx9o15dGPxmXshwVOIC5WqxyG&#10;L9exeGMfHU/gSdXUpE/bZ+bd0MwRX8EtjA/4Q0P3sSnTwmodQarc7W+6Dnrjq8+NM0yoNFb27Rz1&#10;NkeXfwAAAP//AwBQSwMEFAAGAAgAAAAhAASr6ZrgAAAACgEAAA8AAABkcnMvZG93bnJldi54bWxM&#10;j8FOwzAQRO9I/IO1SFwQdSBVSEM2FaqEQHCi9NKbGy9J1HgdbKdJ/x5zguNoRjNvyvVsenEi5zvL&#10;CHeLBARxbXXHDcLu8/k2B+GDYq16y4RwJg/r6vKiVIW2E3/QaRsaEUvYFwqhDWEopPR1S0b5hR2I&#10;o/dlnVEhStdI7dQUy00v75Mkk0Z1HBdaNdCmpfq4HQ1C3rwMPpnP70e9+Xb99HazH19HxOur+ekR&#10;RKA5/IXhFz+iQxWZDnZk7UWPkKZZ/BIQlg8rEDGwzFcZiANC3E1BVqX8f6H6AQAA//8DAFBLAQIt&#10;ABQABgAIAAAAIQC2gziS/gAAAOEBAAATAAAAAAAAAAAAAAAAAAAAAABbQ29udGVudF9UeXBlc10u&#10;eG1sUEsBAi0AFAAGAAgAAAAhADj9If/WAAAAlAEAAAsAAAAAAAAAAAAAAAAALwEAAF9yZWxzLy5y&#10;ZWxzUEsBAi0AFAAGAAgAAAAhAN7DwoyXAgAAjwUAAA4AAAAAAAAAAAAAAAAALgIAAGRycy9lMm9E&#10;b2MueG1sUEsBAi0AFAAGAAgAAAAhAASr6ZrgAAAACgEAAA8AAAAAAAAAAAAAAAAA8QQAAGRycy9k&#10;b3ducmV2LnhtbFBLBQYAAAAABAAEAPMAAAD+BQAAAAA=&#10;" filled="f" strokecolor="#ed7d31 [3205]" strokeweight="3pt">
                <v:stroke joinstyle="miter"/>
              </v:oval>
            </w:pict>
          </mc:Fallback>
        </mc:AlternateContent>
      </w:r>
      <w:r w:rsidRPr="00117C22">
        <w:rPr>
          <w:rFonts w:cstheme="minorHAnsi"/>
          <w:noProof/>
          <w:color w:val="000000" w:themeColor="text1"/>
          <w:sz w:val="20"/>
          <w:szCs w:val="20"/>
        </w:rPr>
        <w:drawing>
          <wp:inline distT="0" distB="0" distL="0" distR="0" wp14:anchorId="397DCE8F" wp14:editId="2A6A0823">
            <wp:extent cx="1912620" cy="1227077"/>
            <wp:effectExtent l="190500" t="190500" r="182880" b="182880"/>
            <wp:docPr id="107527" name="Picture 5" descr="Untitled-1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527" name="Picture 5" descr="Untitled-1 copy"/>
                    <pic:cNvPicPr>
                      <a:picLocks noChangeAspect="1" noChangeArrowheads="1"/>
                    </pic:cNvPicPr>
                  </pic:nvPicPr>
                  <pic:blipFill>
                    <a:blip r:embed="rId7"/>
                    <a:srcRect/>
                    <a:stretch>
                      <a:fillRect/>
                    </a:stretch>
                  </pic:blipFill>
                  <pic:spPr bwMode="auto">
                    <a:xfrm>
                      <a:off x="0" y="0"/>
                      <a:ext cx="1940029" cy="1244662"/>
                    </a:xfrm>
                    <a:prstGeom prst="rect">
                      <a:avLst/>
                    </a:prstGeom>
                    <a:ln>
                      <a:noFill/>
                    </a:ln>
                    <a:effectLst>
                      <a:outerShdw blurRad="190500" algn="tl" rotWithShape="0">
                        <a:srgbClr val="000000">
                          <a:alpha val="70000"/>
                        </a:srgbClr>
                      </a:outerShdw>
                    </a:effectLst>
                    <a:extLst>
                      <a:ext uri="{909E8E84-426E-40DD-AFC4-6F175D3DCCD1}">
                        <a14:hiddenFill xmlns:a14="http://schemas.microsoft.com/office/drawing/2010/main">
                          <a:solidFill>
                            <a:srgbClr val="FFFFFF"/>
                          </a:solidFill>
                        </a14:hiddenFill>
                      </a:ext>
                    </a:extLst>
                  </pic:spPr>
                </pic:pic>
              </a:graphicData>
            </a:graphic>
          </wp:inline>
        </w:drawing>
      </w:r>
      <w:r w:rsidRPr="00117C22">
        <w:rPr>
          <w:rFonts w:cstheme="minorHAnsi"/>
          <w:noProof/>
          <w:color w:val="000000" w:themeColor="text1"/>
          <w:sz w:val="20"/>
          <w:szCs w:val="20"/>
        </w:rPr>
        <w:drawing>
          <wp:inline distT="0" distB="0" distL="0" distR="0" wp14:anchorId="40C6E56E" wp14:editId="295C8813">
            <wp:extent cx="1905000" cy="1220752"/>
            <wp:effectExtent l="190500" t="190500" r="190500" b="189230"/>
            <wp:docPr id="107528" name="Picture 6" descr="Untitled-1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528" name="Picture 6" descr="Untitled-1 copy"/>
                    <pic:cNvPicPr>
                      <a:picLocks noChangeAspect="1" noChangeArrowheads="1"/>
                    </pic:cNvPicPr>
                  </pic:nvPicPr>
                  <pic:blipFill>
                    <a:blip r:embed="rId8"/>
                    <a:srcRect/>
                    <a:stretch>
                      <a:fillRect/>
                    </a:stretch>
                  </pic:blipFill>
                  <pic:spPr bwMode="auto">
                    <a:xfrm>
                      <a:off x="0" y="0"/>
                      <a:ext cx="1959535" cy="1255699"/>
                    </a:xfrm>
                    <a:prstGeom prst="rect">
                      <a:avLst/>
                    </a:prstGeom>
                    <a:ln>
                      <a:noFill/>
                    </a:ln>
                    <a:effectLst>
                      <a:outerShdw blurRad="190500" algn="tl" rotWithShape="0">
                        <a:srgbClr val="000000">
                          <a:alpha val="70000"/>
                        </a:srgbClr>
                      </a:outerShdw>
                    </a:effectLst>
                    <a:extLst>
                      <a:ext uri="{909E8E84-426E-40DD-AFC4-6F175D3DCCD1}">
                        <a14:hiddenFill xmlns:a14="http://schemas.microsoft.com/office/drawing/2010/main">
                          <a:solidFill>
                            <a:srgbClr val="FFFFFF"/>
                          </a:solidFill>
                        </a14:hiddenFill>
                      </a:ext>
                    </a:extLst>
                  </pic:spPr>
                </pic:pic>
              </a:graphicData>
            </a:graphic>
          </wp:inline>
        </w:drawing>
      </w:r>
    </w:p>
    <w:p w14:paraId="579915BC" w14:textId="77777777" w:rsidR="00117C22" w:rsidRPr="00117C22" w:rsidRDefault="00117C22" w:rsidP="00117C22">
      <w:pPr>
        <w:rPr>
          <w:rFonts w:cstheme="minorHAnsi"/>
          <w:color w:val="000000" w:themeColor="text1"/>
          <w:sz w:val="20"/>
          <w:szCs w:val="20"/>
        </w:rPr>
      </w:pPr>
      <w:r w:rsidRPr="00117C22">
        <w:rPr>
          <w:rFonts w:cstheme="minorHAnsi"/>
          <w:color w:val="000000" w:themeColor="text1"/>
          <w:sz w:val="20"/>
          <w:szCs w:val="20"/>
        </w:rPr>
        <w:t>A T-COD can only be placed in a ‘track circuited’ area and must be placed in the correct position. Details of areas where a T-COD is not permitted for use is in the Sectional Appendix, in the signalling &amp; remarks column - areas such as; –</w:t>
      </w:r>
    </w:p>
    <w:p w14:paraId="26E3B2D4" w14:textId="77777777" w:rsidR="00117C22" w:rsidRPr="00117C22" w:rsidRDefault="00117C22" w:rsidP="00117C22">
      <w:pPr>
        <w:pStyle w:val="ListParagraph"/>
        <w:numPr>
          <w:ilvl w:val="0"/>
          <w:numId w:val="3"/>
        </w:numPr>
        <w:rPr>
          <w:rFonts w:cstheme="minorHAnsi"/>
          <w:b/>
          <w:color w:val="000000" w:themeColor="text1"/>
          <w:sz w:val="20"/>
          <w:szCs w:val="20"/>
        </w:rPr>
      </w:pPr>
      <w:r w:rsidRPr="00117C22">
        <w:rPr>
          <w:rFonts w:cstheme="minorHAnsi"/>
          <w:b/>
          <w:color w:val="000000" w:themeColor="text1"/>
          <w:sz w:val="20"/>
          <w:szCs w:val="20"/>
        </w:rPr>
        <w:t>Check Rails,</w:t>
      </w:r>
    </w:p>
    <w:p w14:paraId="08502737" w14:textId="77777777" w:rsidR="00117C22" w:rsidRPr="00117C22" w:rsidRDefault="00117C22" w:rsidP="00117C22">
      <w:pPr>
        <w:pStyle w:val="ListParagraph"/>
        <w:numPr>
          <w:ilvl w:val="0"/>
          <w:numId w:val="3"/>
        </w:numPr>
        <w:rPr>
          <w:rFonts w:cstheme="minorHAnsi"/>
          <w:color w:val="000000" w:themeColor="text1"/>
          <w:sz w:val="20"/>
          <w:szCs w:val="20"/>
        </w:rPr>
      </w:pPr>
      <w:r w:rsidRPr="00117C22">
        <w:rPr>
          <w:rFonts w:cstheme="minorHAnsi"/>
          <w:b/>
          <w:color w:val="000000" w:themeColor="text1"/>
          <w:sz w:val="20"/>
          <w:szCs w:val="20"/>
        </w:rPr>
        <w:t>Points &amp; Crossings</w:t>
      </w:r>
      <w:r w:rsidRPr="00117C22">
        <w:rPr>
          <w:rFonts w:cstheme="minorHAnsi"/>
          <w:color w:val="000000" w:themeColor="text1"/>
          <w:sz w:val="20"/>
          <w:szCs w:val="20"/>
        </w:rPr>
        <w:t xml:space="preserve"> – unless the signaller has taken into consideration the effect of the device on all equipment controlled by the track circuit,</w:t>
      </w:r>
    </w:p>
    <w:p w14:paraId="05FD254D" w14:textId="77777777" w:rsidR="00117C22" w:rsidRPr="00117C22" w:rsidRDefault="00117C22" w:rsidP="00117C22">
      <w:pPr>
        <w:pStyle w:val="ListParagraph"/>
        <w:numPr>
          <w:ilvl w:val="0"/>
          <w:numId w:val="3"/>
        </w:numPr>
        <w:rPr>
          <w:rFonts w:cstheme="minorHAnsi"/>
          <w:color w:val="000000" w:themeColor="text1"/>
          <w:sz w:val="20"/>
          <w:szCs w:val="20"/>
        </w:rPr>
      </w:pPr>
      <w:r w:rsidRPr="00117C22">
        <w:rPr>
          <w:rFonts w:cstheme="minorHAnsi"/>
          <w:b/>
          <w:color w:val="000000" w:themeColor="text1"/>
          <w:sz w:val="20"/>
          <w:szCs w:val="20"/>
        </w:rPr>
        <w:t>Automatic Level Crossings</w:t>
      </w:r>
      <w:r w:rsidRPr="00117C22">
        <w:rPr>
          <w:rFonts w:cstheme="minorHAnsi"/>
          <w:color w:val="000000" w:themeColor="text1"/>
          <w:sz w:val="20"/>
          <w:szCs w:val="20"/>
        </w:rPr>
        <w:t xml:space="preserve"> – between the ‘strike in’ and strike out’ treadles,</w:t>
      </w:r>
    </w:p>
    <w:p w14:paraId="5B8CB6EA" w14:textId="77777777" w:rsidR="00117C22" w:rsidRPr="00117C22" w:rsidRDefault="00117C22" w:rsidP="00117C22">
      <w:pPr>
        <w:pStyle w:val="ListParagraph"/>
        <w:numPr>
          <w:ilvl w:val="0"/>
          <w:numId w:val="3"/>
        </w:numPr>
        <w:rPr>
          <w:rFonts w:cstheme="minorHAnsi"/>
          <w:color w:val="000000" w:themeColor="text1"/>
          <w:sz w:val="20"/>
          <w:szCs w:val="20"/>
        </w:rPr>
      </w:pPr>
      <w:r w:rsidRPr="00117C22">
        <w:rPr>
          <w:rFonts w:cstheme="minorHAnsi"/>
          <w:b/>
          <w:color w:val="000000" w:themeColor="text1"/>
          <w:sz w:val="20"/>
          <w:szCs w:val="20"/>
        </w:rPr>
        <w:t>CCTV &amp; Manual Level Crossings</w:t>
      </w:r>
      <w:r w:rsidRPr="00117C22">
        <w:rPr>
          <w:rFonts w:cstheme="minorHAnsi"/>
          <w:color w:val="000000" w:themeColor="text1"/>
          <w:sz w:val="20"/>
          <w:szCs w:val="20"/>
        </w:rPr>
        <w:t xml:space="preserve"> – between the protecting signal and the crossing itself.</w:t>
      </w:r>
    </w:p>
    <w:p w14:paraId="405214D6" w14:textId="77777777" w:rsidR="00117C22" w:rsidRPr="00117C22" w:rsidRDefault="00117C22" w:rsidP="00117C22">
      <w:pPr>
        <w:rPr>
          <w:rFonts w:cstheme="minorHAnsi"/>
          <w:color w:val="000000" w:themeColor="text1"/>
          <w:sz w:val="20"/>
          <w:szCs w:val="20"/>
        </w:rPr>
      </w:pPr>
      <w:r w:rsidRPr="00117C22">
        <w:rPr>
          <w:rFonts w:cstheme="minorHAnsi"/>
          <w:color w:val="000000" w:themeColor="text1"/>
          <w:sz w:val="20"/>
          <w:szCs w:val="20"/>
        </w:rPr>
        <w:t>The COSS / PC must examine a T-COD prior to use, to make sure there are no signs of damage or cable wear that can cause it to fail. A manual should be included with the equipment which will show the best practice for handling. Once a T-COD is applied to the rail the COSS / PC must keep hold of the locking key for the duration of the line block. The rail must be wire brushed before placing to ensure good contact.</w:t>
      </w:r>
    </w:p>
    <w:p w14:paraId="27F629D0" w14:textId="77777777" w:rsidR="00117C22" w:rsidRPr="00117C22" w:rsidRDefault="00117C22" w:rsidP="00117C22">
      <w:pPr>
        <w:jc w:val="center"/>
        <w:rPr>
          <w:rFonts w:cstheme="minorHAnsi"/>
          <w:b/>
          <w:color w:val="FF0000"/>
          <w:sz w:val="20"/>
          <w:szCs w:val="20"/>
        </w:rPr>
      </w:pPr>
      <w:r w:rsidRPr="00117C22">
        <w:rPr>
          <w:rFonts w:cstheme="minorHAnsi"/>
          <w:b/>
          <w:color w:val="FF0000"/>
          <w:sz w:val="20"/>
          <w:szCs w:val="20"/>
        </w:rPr>
        <w:t>In third rail areas, you must attach the T-COD to the rail furthest from the DC Rail first.</w:t>
      </w:r>
    </w:p>
    <w:p w14:paraId="29AEE2C3" w14:textId="77777777" w:rsidR="00117C22" w:rsidRPr="00117C22" w:rsidRDefault="00117C22" w:rsidP="00117C22">
      <w:pPr>
        <w:rPr>
          <w:rFonts w:cstheme="minorHAnsi"/>
          <w:color w:val="000000" w:themeColor="text1"/>
          <w:sz w:val="20"/>
          <w:szCs w:val="20"/>
        </w:rPr>
      </w:pPr>
      <w:r w:rsidRPr="00117C22">
        <w:rPr>
          <w:rFonts w:cstheme="minorHAnsi"/>
          <w:color w:val="000000" w:themeColor="text1"/>
          <w:sz w:val="20"/>
          <w:szCs w:val="20"/>
        </w:rPr>
        <w:t>A T-COD must only be used if-</w:t>
      </w:r>
    </w:p>
    <w:p w14:paraId="353E1048" w14:textId="77777777" w:rsidR="00117C22" w:rsidRPr="00117C22" w:rsidRDefault="00117C22" w:rsidP="00117C22">
      <w:pPr>
        <w:pStyle w:val="ListParagraph"/>
        <w:numPr>
          <w:ilvl w:val="0"/>
          <w:numId w:val="6"/>
        </w:numPr>
        <w:rPr>
          <w:rFonts w:cstheme="minorHAnsi"/>
          <w:color w:val="000000" w:themeColor="text1"/>
          <w:sz w:val="20"/>
          <w:szCs w:val="20"/>
        </w:rPr>
      </w:pPr>
      <w:r w:rsidRPr="00117C22">
        <w:rPr>
          <w:rFonts w:cstheme="minorHAnsi"/>
          <w:color w:val="000000" w:themeColor="text1"/>
          <w:sz w:val="20"/>
          <w:szCs w:val="20"/>
        </w:rPr>
        <w:t>The signaller gives their permission for it to be used</w:t>
      </w:r>
    </w:p>
    <w:p w14:paraId="290371E6" w14:textId="77777777" w:rsidR="00117C22" w:rsidRPr="00117C22" w:rsidRDefault="00117C22" w:rsidP="00117C22">
      <w:pPr>
        <w:numPr>
          <w:ilvl w:val="0"/>
          <w:numId w:val="6"/>
        </w:numPr>
        <w:rPr>
          <w:rFonts w:cstheme="minorHAnsi"/>
          <w:color w:val="000000" w:themeColor="text1"/>
          <w:sz w:val="20"/>
          <w:szCs w:val="20"/>
        </w:rPr>
      </w:pPr>
      <w:r w:rsidRPr="00117C22">
        <w:rPr>
          <w:rFonts w:cstheme="minorHAnsi"/>
          <w:color w:val="000000" w:themeColor="text1"/>
          <w:sz w:val="20"/>
          <w:szCs w:val="20"/>
        </w:rPr>
        <w:t>Its use at the location is permitted in the Sectional Appendix.</w:t>
      </w:r>
    </w:p>
    <w:p w14:paraId="043552EF" w14:textId="77777777" w:rsidR="00117C22" w:rsidRPr="00117C22" w:rsidRDefault="00117C22" w:rsidP="00117C22">
      <w:pPr>
        <w:numPr>
          <w:ilvl w:val="0"/>
          <w:numId w:val="6"/>
        </w:numPr>
        <w:rPr>
          <w:rFonts w:cstheme="minorHAnsi"/>
          <w:color w:val="000000" w:themeColor="text1"/>
          <w:sz w:val="20"/>
          <w:szCs w:val="20"/>
        </w:rPr>
      </w:pPr>
      <w:r w:rsidRPr="00117C22">
        <w:rPr>
          <w:rFonts w:cstheme="minorHAnsi"/>
          <w:color w:val="000000" w:themeColor="text1"/>
          <w:sz w:val="20"/>
          <w:szCs w:val="20"/>
        </w:rPr>
        <w:t>The signalling equipment is working normally at the times the T-COD is to be placed on the line.</w:t>
      </w:r>
    </w:p>
    <w:p w14:paraId="0CBB4E27" w14:textId="77777777" w:rsidR="00117C22" w:rsidRPr="00117C22" w:rsidRDefault="00117C22" w:rsidP="00117C22">
      <w:pPr>
        <w:numPr>
          <w:ilvl w:val="0"/>
          <w:numId w:val="6"/>
        </w:numPr>
        <w:rPr>
          <w:rFonts w:cstheme="minorHAnsi"/>
          <w:color w:val="000000" w:themeColor="text1"/>
          <w:sz w:val="20"/>
          <w:szCs w:val="20"/>
        </w:rPr>
      </w:pPr>
      <w:r w:rsidRPr="00117C22">
        <w:rPr>
          <w:rFonts w:cstheme="minorHAnsi"/>
          <w:color w:val="000000" w:themeColor="text1"/>
          <w:sz w:val="20"/>
          <w:szCs w:val="20"/>
        </w:rPr>
        <w:t xml:space="preserve">There is a signal on the approach which can be placed to danger by the Signaller </w:t>
      </w:r>
    </w:p>
    <w:p w14:paraId="08B1F1E8" w14:textId="77777777" w:rsidR="00117C22" w:rsidRPr="00117C22" w:rsidRDefault="00117C22" w:rsidP="00117C22">
      <w:pPr>
        <w:numPr>
          <w:ilvl w:val="0"/>
          <w:numId w:val="6"/>
        </w:numPr>
        <w:rPr>
          <w:rFonts w:cstheme="minorHAnsi"/>
          <w:color w:val="000000" w:themeColor="text1"/>
          <w:sz w:val="20"/>
          <w:szCs w:val="20"/>
        </w:rPr>
      </w:pPr>
      <w:r w:rsidRPr="00117C22">
        <w:rPr>
          <w:rFonts w:cstheme="minorHAnsi"/>
          <w:color w:val="000000" w:themeColor="text1"/>
          <w:sz w:val="20"/>
          <w:szCs w:val="20"/>
        </w:rPr>
        <w:t>The work to be carried out will not affect the correct operation of the Track Circuit concerned.</w:t>
      </w:r>
    </w:p>
    <w:p w14:paraId="2D9A0C8D" w14:textId="77777777" w:rsidR="00117C22" w:rsidRPr="00117C22" w:rsidRDefault="00117C22" w:rsidP="00117C22">
      <w:pPr>
        <w:numPr>
          <w:ilvl w:val="0"/>
          <w:numId w:val="6"/>
        </w:numPr>
        <w:rPr>
          <w:rFonts w:cstheme="minorHAnsi"/>
          <w:color w:val="000000" w:themeColor="text1"/>
          <w:sz w:val="20"/>
          <w:szCs w:val="20"/>
        </w:rPr>
      </w:pPr>
      <w:r w:rsidRPr="00117C22">
        <w:rPr>
          <w:rFonts w:cstheme="minorHAnsi"/>
          <w:color w:val="000000" w:themeColor="text1"/>
          <w:sz w:val="20"/>
          <w:szCs w:val="20"/>
        </w:rPr>
        <w:t>Only one T-COD can be used in a signal section at a time.</w:t>
      </w:r>
    </w:p>
    <w:p w14:paraId="09E04AB4" w14:textId="77777777" w:rsidR="00117C22" w:rsidRPr="00117C22" w:rsidRDefault="00117C22" w:rsidP="00117C22">
      <w:pPr>
        <w:ind w:left="1080"/>
        <w:rPr>
          <w:rFonts w:cstheme="minorHAnsi"/>
          <w:color w:val="000000" w:themeColor="text1"/>
          <w:sz w:val="20"/>
          <w:szCs w:val="20"/>
        </w:rPr>
      </w:pPr>
    </w:p>
    <w:p w14:paraId="7C9E87D2" w14:textId="77777777" w:rsidR="00117C22" w:rsidRPr="00117C22" w:rsidRDefault="00117C22" w:rsidP="00117C22">
      <w:pPr>
        <w:ind w:left="360"/>
        <w:jc w:val="center"/>
        <w:rPr>
          <w:rFonts w:cstheme="minorHAnsi"/>
          <w:b/>
          <w:bCs/>
          <w:color w:val="FF0000"/>
          <w:sz w:val="20"/>
          <w:szCs w:val="20"/>
        </w:rPr>
      </w:pPr>
      <w:r w:rsidRPr="00117C22">
        <w:rPr>
          <w:rFonts w:cstheme="minorHAnsi"/>
          <w:b/>
          <w:bCs/>
          <w:color w:val="FF0000"/>
          <w:sz w:val="20"/>
          <w:szCs w:val="20"/>
        </w:rPr>
        <w:t xml:space="preserve">Remember, the COSS / PC must remove the T-COD prior to handing the line blockage back. Once removed, the line will </w:t>
      </w:r>
      <w:r w:rsidRPr="00117C22">
        <w:rPr>
          <w:rFonts w:cstheme="minorHAnsi"/>
          <w:b/>
          <w:bCs/>
          <w:color w:val="FF0000"/>
          <w:sz w:val="20"/>
          <w:szCs w:val="20"/>
          <w:u w:val="single"/>
        </w:rPr>
        <w:t>no longer</w:t>
      </w:r>
      <w:r w:rsidRPr="00117C22">
        <w:rPr>
          <w:rFonts w:cstheme="minorHAnsi"/>
          <w:b/>
          <w:bCs/>
          <w:color w:val="FF0000"/>
          <w:sz w:val="20"/>
          <w:szCs w:val="20"/>
        </w:rPr>
        <w:t xml:space="preserve"> show occupied. If in doubt, speak to the signaller.</w:t>
      </w:r>
    </w:p>
    <w:p w14:paraId="25172B3B" w14:textId="77777777" w:rsidR="00660C8C" w:rsidRDefault="00660C8C" w:rsidP="00117C22">
      <w:pPr>
        <w:rPr>
          <w:rFonts w:cstheme="minorHAnsi"/>
          <w:color w:val="000000" w:themeColor="text1"/>
          <w:sz w:val="20"/>
          <w:szCs w:val="20"/>
        </w:rPr>
      </w:pPr>
    </w:p>
    <w:p w14:paraId="752F0D23" w14:textId="77777777" w:rsidR="00660C8C" w:rsidRDefault="00660C8C" w:rsidP="00117C22">
      <w:pPr>
        <w:rPr>
          <w:rFonts w:cstheme="minorHAnsi"/>
          <w:color w:val="000000" w:themeColor="text1"/>
          <w:sz w:val="20"/>
          <w:szCs w:val="20"/>
        </w:rPr>
      </w:pPr>
    </w:p>
    <w:p w14:paraId="18E1F4DC" w14:textId="77777777" w:rsidR="00660C8C" w:rsidRDefault="00660C8C" w:rsidP="00117C22">
      <w:pPr>
        <w:rPr>
          <w:rFonts w:cstheme="minorHAnsi"/>
          <w:color w:val="000000" w:themeColor="text1"/>
          <w:sz w:val="20"/>
          <w:szCs w:val="20"/>
        </w:rPr>
      </w:pPr>
    </w:p>
    <w:p w14:paraId="2B790D02" w14:textId="77777777" w:rsidR="00660C8C" w:rsidRDefault="00660C8C" w:rsidP="00117C22">
      <w:pPr>
        <w:rPr>
          <w:rFonts w:cstheme="minorHAnsi"/>
          <w:color w:val="000000" w:themeColor="text1"/>
          <w:sz w:val="20"/>
          <w:szCs w:val="20"/>
        </w:rPr>
      </w:pPr>
    </w:p>
    <w:p w14:paraId="68CD787A" w14:textId="2F7B625B" w:rsidR="00117C22" w:rsidRPr="00461428" w:rsidRDefault="00117C22" w:rsidP="00117C22">
      <w:pPr>
        <w:rPr>
          <w:rFonts w:cstheme="minorHAnsi"/>
          <w:color w:val="ED7D31" w:themeColor="accent2"/>
          <w:sz w:val="20"/>
          <w:szCs w:val="20"/>
        </w:rPr>
      </w:pPr>
      <w:r w:rsidRPr="00461428">
        <w:rPr>
          <w:rFonts w:cstheme="minorHAnsi"/>
          <w:color w:val="ED7D31" w:themeColor="accent2"/>
          <w:sz w:val="20"/>
          <w:szCs w:val="20"/>
        </w:rPr>
        <w:t xml:space="preserve">Overlap Consideration </w:t>
      </w:r>
    </w:p>
    <w:p w14:paraId="2D93BD75" w14:textId="02A72DB0" w:rsidR="00117C22" w:rsidRDefault="00117C22" w:rsidP="00117C22">
      <w:pPr>
        <w:rPr>
          <w:rFonts w:cstheme="minorHAnsi"/>
          <w:color w:val="000000" w:themeColor="text1"/>
          <w:sz w:val="20"/>
          <w:szCs w:val="20"/>
        </w:rPr>
      </w:pPr>
      <w:r w:rsidRPr="00117C22">
        <w:rPr>
          <w:rFonts w:cstheme="minorHAnsi"/>
          <w:color w:val="000000" w:themeColor="text1"/>
          <w:sz w:val="20"/>
          <w:szCs w:val="20"/>
        </w:rPr>
        <w:t xml:space="preserve">Placing a T-COD the wrong side of an Insulated Block Joint (IBJ) will cause the previous signal, on the approach to your protecting signal, to be held at a red aspect, as referenced in the diagram below. </w:t>
      </w:r>
    </w:p>
    <w:p w14:paraId="62907D1F" w14:textId="2000FF6D" w:rsidR="005E20C4" w:rsidRPr="00117C22" w:rsidRDefault="005E20C4" w:rsidP="005E20C4">
      <w:pPr>
        <w:jc w:val="center"/>
        <w:rPr>
          <w:rFonts w:cstheme="minorHAnsi"/>
          <w:color w:val="000000" w:themeColor="text1"/>
          <w:sz w:val="20"/>
          <w:szCs w:val="20"/>
        </w:rPr>
      </w:pPr>
      <w:r w:rsidRPr="005E20C4">
        <w:rPr>
          <w:rFonts w:cstheme="minorHAnsi"/>
          <w:noProof/>
          <w:color w:val="000000" w:themeColor="text1"/>
          <w:sz w:val="20"/>
          <w:szCs w:val="20"/>
        </w:rPr>
        <w:drawing>
          <wp:inline distT="0" distB="0" distL="0" distR="0" wp14:anchorId="6153B1D7" wp14:editId="62DA7C9D">
            <wp:extent cx="5128704" cy="213378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128704" cy="2133785"/>
                    </a:xfrm>
                    <a:prstGeom prst="rect">
                      <a:avLst/>
                    </a:prstGeom>
                  </pic:spPr>
                </pic:pic>
              </a:graphicData>
            </a:graphic>
          </wp:inline>
        </w:drawing>
      </w:r>
    </w:p>
    <w:p w14:paraId="17D802E1" w14:textId="79A7C57C" w:rsidR="00117C22" w:rsidRPr="00117C22" w:rsidRDefault="00117C22" w:rsidP="00660C8C">
      <w:pPr>
        <w:jc w:val="center"/>
        <w:rPr>
          <w:rFonts w:cstheme="minorHAnsi"/>
          <w:color w:val="000000" w:themeColor="text1"/>
          <w:sz w:val="20"/>
          <w:szCs w:val="20"/>
        </w:rPr>
      </w:pPr>
      <w:r w:rsidRPr="00117C22">
        <w:rPr>
          <w:rFonts w:cstheme="minorHAnsi"/>
          <w:noProof/>
          <w:sz w:val="20"/>
          <w:szCs w:val="20"/>
        </w:rPr>
        <w:drawing>
          <wp:inline distT="0" distB="0" distL="0" distR="0" wp14:anchorId="3B8052BA" wp14:editId="34502BA5">
            <wp:extent cx="3488267" cy="598256"/>
            <wp:effectExtent l="0" t="0" r="0" b="0"/>
            <wp:docPr id="1016838" name="Picture 4" descr="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6838" name="Picture 4" descr="49"/>
                    <pic:cNvPicPr>
                      <a:picLocks noChangeAspect="1" noChangeArrowheads="1"/>
                    </pic:cNvPicPr>
                  </pic:nvPicPr>
                  <pic:blipFill rotWithShape="1">
                    <a:blip r:embed="rId10">
                      <a:extLst>
                        <a:ext uri="{28A0092B-C50C-407E-A947-70E740481C1C}">
                          <a14:useLocalDpi xmlns:a14="http://schemas.microsoft.com/office/drawing/2010/main" val="0"/>
                        </a:ext>
                      </a:extLst>
                    </a:blip>
                    <a:srcRect l="1" t="16088" r="1322" b="16822"/>
                    <a:stretch/>
                  </pic:blipFill>
                  <pic:spPr bwMode="auto">
                    <a:xfrm>
                      <a:off x="0" y="0"/>
                      <a:ext cx="3827320" cy="656405"/>
                    </a:xfrm>
                    <a:prstGeom prst="rect">
                      <a:avLst/>
                    </a:prstGeom>
                    <a:noFill/>
                    <a:ln>
                      <a:noFill/>
                    </a:ln>
                    <a:extLst>
                      <a:ext uri="{53640926-AAD7-44D8-BBD7-CCE9431645EC}">
                        <a14:shadowObscured xmlns:a14="http://schemas.microsoft.com/office/drawing/2010/main"/>
                      </a:ext>
                    </a:extLst>
                  </pic:spPr>
                </pic:pic>
              </a:graphicData>
            </a:graphic>
          </wp:inline>
        </w:drawing>
      </w:r>
    </w:p>
    <w:p w14:paraId="54F32F41" w14:textId="77777777" w:rsidR="00117C22" w:rsidRPr="00117C22" w:rsidRDefault="00117C22" w:rsidP="00117C22">
      <w:pPr>
        <w:rPr>
          <w:rFonts w:cstheme="minorHAnsi"/>
          <w:color w:val="000000" w:themeColor="text1"/>
          <w:sz w:val="20"/>
          <w:szCs w:val="20"/>
          <w:u w:val="single"/>
        </w:rPr>
      </w:pPr>
      <w:r w:rsidRPr="00117C22">
        <w:rPr>
          <w:rFonts w:cstheme="minorHAnsi"/>
          <w:color w:val="000000" w:themeColor="text1"/>
          <w:sz w:val="20"/>
          <w:szCs w:val="20"/>
          <w:u w:val="single"/>
        </w:rPr>
        <w:t>Arrangements when using a T-COD-</w:t>
      </w:r>
    </w:p>
    <w:p w14:paraId="1068AF53" w14:textId="77777777" w:rsidR="00117C22" w:rsidRPr="00117C22" w:rsidRDefault="00117C22" w:rsidP="00117C22">
      <w:pPr>
        <w:numPr>
          <w:ilvl w:val="0"/>
          <w:numId w:val="4"/>
        </w:numPr>
        <w:rPr>
          <w:rFonts w:cstheme="minorHAnsi"/>
          <w:color w:val="000000" w:themeColor="text1"/>
          <w:sz w:val="20"/>
          <w:szCs w:val="20"/>
        </w:rPr>
      </w:pPr>
      <w:r w:rsidRPr="00117C22">
        <w:rPr>
          <w:rFonts w:cstheme="minorHAnsi"/>
          <w:color w:val="000000" w:themeColor="text1"/>
          <w:sz w:val="20"/>
          <w:szCs w:val="20"/>
        </w:rPr>
        <w:t>The COSS / PC must set up a Safe System of Work when placing/removing a T-COD from the four-foot.</w:t>
      </w:r>
    </w:p>
    <w:p w14:paraId="1B1ACD69" w14:textId="77777777" w:rsidR="00117C22" w:rsidRPr="00117C22" w:rsidRDefault="00117C22" w:rsidP="00117C22">
      <w:pPr>
        <w:numPr>
          <w:ilvl w:val="0"/>
          <w:numId w:val="4"/>
        </w:numPr>
        <w:rPr>
          <w:rFonts w:cstheme="minorHAnsi"/>
          <w:color w:val="000000" w:themeColor="text1"/>
          <w:sz w:val="20"/>
          <w:szCs w:val="20"/>
        </w:rPr>
      </w:pPr>
      <w:r w:rsidRPr="00117C22">
        <w:rPr>
          <w:rFonts w:cstheme="minorHAnsi"/>
          <w:color w:val="000000" w:themeColor="text1"/>
          <w:sz w:val="20"/>
          <w:szCs w:val="20"/>
        </w:rPr>
        <w:t>The COSS / PC must confirm that the T-COD is placed in the correct track circuit section</w:t>
      </w:r>
    </w:p>
    <w:p w14:paraId="6E46E8D8" w14:textId="77777777" w:rsidR="00117C22" w:rsidRPr="00117C22" w:rsidRDefault="00117C22" w:rsidP="00117C22">
      <w:pPr>
        <w:numPr>
          <w:ilvl w:val="0"/>
          <w:numId w:val="4"/>
        </w:numPr>
        <w:rPr>
          <w:rFonts w:cstheme="minorHAnsi"/>
          <w:color w:val="000000" w:themeColor="text1"/>
          <w:sz w:val="20"/>
          <w:szCs w:val="20"/>
        </w:rPr>
      </w:pPr>
      <w:r w:rsidRPr="00117C22">
        <w:rPr>
          <w:rFonts w:cstheme="minorHAnsi"/>
          <w:color w:val="000000" w:themeColor="text1"/>
          <w:sz w:val="20"/>
          <w:szCs w:val="20"/>
        </w:rPr>
        <w:t xml:space="preserve">The TCOD must be placed on the approach to the site of work. </w:t>
      </w:r>
    </w:p>
    <w:p w14:paraId="315F8D0C" w14:textId="77777777" w:rsidR="00117C22" w:rsidRPr="00117C22" w:rsidRDefault="00117C22" w:rsidP="00117C22">
      <w:pPr>
        <w:numPr>
          <w:ilvl w:val="0"/>
          <w:numId w:val="4"/>
        </w:numPr>
        <w:rPr>
          <w:rFonts w:cstheme="minorHAnsi"/>
          <w:color w:val="000000" w:themeColor="text1"/>
          <w:sz w:val="20"/>
          <w:szCs w:val="20"/>
        </w:rPr>
      </w:pPr>
      <w:r w:rsidRPr="00117C22">
        <w:rPr>
          <w:rFonts w:cstheme="minorHAnsi"/>
          <w:color w:val="000000" w:themeColor="text1"/>
          <w:sz w:val="20"/>
          <w:szCs w:val="20"/>
        </w:rPr>
        <w:t xml:space="preserve">The COSS / PC must confirm that signal overlaps are considered when placing the T-COD </w:t>
      </w:r>
    </w:p>
    <w:p w14:paraId="39B2D276" w14:textId="77777777" w:rsidR="00117C22" w:rsidRPr="00117C22" w:rsidRDefault="00117C22" w:rsidP="00117C22">
      <w:pPr>
        <w:pStyle w:val="ListParagraph"/>
        <w:numPr>
          <w:ilvl w:val="0"/>
          <w:numId w:val="4"/>
        </w:numPr>
        <w:rPr>
          <w:rFonts w:cstheme="minorHAnsi"/>
          <w:color w:val="000000" w:themeColor="text1"/>
          <w:sz w:val="20"/>
          <w:szCs w:val="20"/>
        </w:rPr>
      </w:pPr>
      <w:r w:rsidRPr="00117C22">
        <w:rPr>
          <w:rFonts w:cstheme="minorHAnsi"/>
          <w:color w:val="000000" w:themeColor="text1"/>
          <w:sz w:val="20"/>
          <w:szCs w:val="20"/>
        </w:rPr>
        <w:t xml:space="preserve">The COSS / PC contacts the Signaller and requests a Line Blockage with additional protection </w:t>
      </w:r>
    </w:p>
    <w:p w14:paraId="1C40CF30" w14:textId="77777777" w:rsidR="00117C22" w:rsidRPr="00117C22" w:rsidRDefault="00117C22" w:rsidP="00117C22">
      <w:pPr>
        <w:ind w:left="360"/>
        <w:rPr>
          <w:rFonts w:cstheme="minorHAnsi"/>
          <w:color w:val="000000" w:themeColor="text1"/>
          <w:sz w:val="20"/>
          <w:szCs w:val="20"/>
          <w:u w:val="single"/>
        </w:rPr>
      </w:pPr>
      <w:r w:rsidRPr="00117C22">
        <w:rPr>
          <w:rFonts w:cstheme="minorHAnsi"/>
          <w:color w:val="000000" w:themeColor="text1"/>
          <w:sz w:val="20"/>
          <w:szCs w:val="20"/>
          <w:u w:val="single"/>
        </w:rPr>
        <w:t>The COSS / PC and Signaller agree:</w:t>
      </w:r>
    </w:p>
    <w:p w14:paraId="7D592180" w14:textId="77777777" w:rsidR="00117C22" w:rsidRPr="00117C22" w:rsidRDefault="00117C22" w:rsidP="00117C22">
      <w:pPr>
        <w:numPr>
          <w:ilvl w:val="0"/>
          <w:numId w:val="5"/>
        </w:numPr>
        <w:rPr>
          <w:rFonts w:cstheme="minorHAnsi"/>
          <w:color w:val="000000" w:themeColor="text1"/>
          <w:sz w:val="20"/>
          <w:szCs w:val="20"/>
        </w:rPr>
      </w:pPr>
      <w:r w:rsidRPr="00117C22">
        <w:rPr>
          <w:rFonts w:cstheme="minorHAnsi"/>
          <w:color w:val="000000" w:themeColor="text1"/>
          <w:sz w:val="20"/>
          <w:szCs w:val="20"/>
        </w:rPr>
        <w:t xml:space="preserve">The signal to protect the line blockage must first be placed to danger by the Signaller </w:t>
      </w:r>
    </w:p>
    <w:p w14:paraId="5F672D20" w14:textId="77777777" w:rsidR="00117C22" w:rsidRPr="00117C22" w:rsidRDefault="00117C22" w:rsidP="00117C22">
      <w:pPr>
        <w:numPr>
          <w:ilvl w:val="0"/>
          <w:numId w:val="5"/>
        </w:numPr>
        <w:rPr>
          <w:rFonts w:cstheme="minorHAnsi"/>
          <w:color w:val="000000" w:themeColor="text1"/>
          <w:sz w:val="20"/>
          <w:szCs w:val="20"/>
        </w:rPr>
      </w:pPr>
      <w:r w:rsidRPr="00117C22">
        <w:rPr>
          <w:rFonts w:cstheme="minorHAnsi"/>
          <w:color w:val="000000" w:themeColor="text1"/>
          <w:sz w:val="20"/>
          <w:szCs w:val="20"/>
        </w:rPr>
        <w:t>Signaller will confirm which track circuit number(s) are to be ‘occupied’.</w:t>
      </w:r>
    </w:p>
    <w:p w14:paraId="143B07C2" w14:textId="77777777" w:rsidR="00117C22" w:rsidRPr="00117C22" w:rsidRDefault="00117C22" w:rsidP="00117C22">
      <w:pPr>
        <w:numPr>
          <w:ilvl w:val="0"/>
          <w:numId w:val="5"/>
        </w:numPr>
        <w:rPr>
          <w:rFonts w:cstheme="minorHAnsi"/>
          <w:color w:val="000000" w:themeColor="text1"/>
          <w:sz w:val="20"/>
          <w:szCs w:val="20"/>
        </w:rPr>
      </w:pPr>
      <w:r w:rsidRPr="00117C22">
        <w:rPr>
          <w:rFonts w:cstheme="minorHAnsi"/>
          <w:color w:val="000000" w:themeColor="text1"/>
          <w:sz w:val="20"/>
          <w:szCs w:val="20"/>
        </w:rPr>
        <w:t xml:space="preserve">Obtain the Signaller’s permission to place the T-COD on the line concerned and record time permission given on the NR3180.  </w:t>
      </w:r>
    </w:p>
    <w:p w14:paraId="37A55CDE" w14:textId="77777777" w:rsidR="00117C22" w:rsidRPr="00117C22" w:rsidRDefault="00117C22" w:rsidP="00117C22">
      <w:pPr>
        <w:numPr>
          <w:ilvl w:val="0"/>
          <w:numId w:val="5"/>
        </w:numPr>
        <w:rPr>
          <w:rFonts w:cstheme="minorHAnsi"/>
          <w:color w:val="000000" w:themeColor="text1"/>
          <w:sz w:val="20"/>
          <w:szCs w:val="20"/>
        </w:rPr>
      </w:pPr>
      <w:r w:rsidRPr="00117C22">
        <w:rPr>
          <w:rFonts w:cstheme="minorHAnsi"/>
          <w:color w:val="000000" w:themeColor="text1"/>
          <w:sz w:val="20"/>
          <w:szCs w:val="20"/>
        </w:rPr>
        <w:t>T-COD can now be placed at the agreed location</w:t>
      </w:r>
    </w:p>
    <w:p w14:paraId="5DE87DC0" w14:textId="77777777" w:rsidR="00117C22" w:rsidRPr="00117C22" w:rsidRDefault="00117C22" w:rsidP="00117C22">
      <w:pPr>
        <w:numPr>
          <w:ilvl w:val="0"/>
          <w:numId w:val="5"/>
        </w:numPr>
        <w:rPr>
          <w:rFonts w:cstheme="minorHAnsi"/>
          <w:color w:val="000000" w:themeColor="text1"/>
          <w:sz w:val="20"/>
          <w:szCs w:val="20"/>
        </w:rPr>
      </w:pPr>
      <w:r w:rsidRPr="00117C22">
        <w:rPr>
          <w:rFonts w:cstheme="minorHAnsi"/>
          <w:color w:val="000000" w:themeColor="text1"/>
          <w:sz w:val="20"/>
          <w:szCs w:val="20"/>
        </w:rPr>
        <w:t>Obtain the Signaller’s assurance that the track circuit concerned is showing ‘occupied’.  Track Circuit number(s) must be recorded on NR3180.</w:t>
      </w:r>
    </w:p>
    <w:p w14:paraId="3B2D0511" w14:textId="77777777" w:rsidR="00117C22" w:rsidRPr="00117C22" w:rsidRDefault="00117C22" w:rsidP="00117C22">
      <w:pPr>
        <w:numPr>
          <w:ilvl w:val="0"/>
          <w:numId w:val="5"/>
        </w:numPr>
        <w:rPr>
          <w:rFonts w:cstheme="minorHAnsi"/>
          <w:color w:val="000000" w:themeColor="text1"/>
          <w:sz w:val="20"/>
          <w:szCs w:val="20"/>
        </w:rPr>
      </w:pPr>
      <w:r w:rsidRPr="00117C22">
        <w:rPr>
          <w:rFonts w:cstheme="minorHAnsi"/>
          <w:color w:val="000000" w:themeColor="text1"/>
          <w:sz w:val="20"/>
          <w:szCs w:val="20"/>
        </w:rPr>
        <w:t>Agree hand back time and obtain the Authority Number from the controlling Signaller.  This must be recorded on NR3180.</w:t>
      </w:r>
    </w:p>
    <w:p w14:paraId="4928409B" w14:textId="77777777" w:rsidR="00117C22" w:rsidRPr="00117C22" w:rsidRDefault="00117C22" w:rsidP="00117C22">
      <w:pPr>
        <w:numPr>
          <w:ilvl w:val="0"/>
          <w:numId w:val="5"/>
        </w:numPr>
        <w:rPr>
          <w:rFonts w:cstheme="minorHAnsi"/>
          <w:color w:val="000000" w:themeColor="text1"/>
          <w:sz w:val="20"/>
          <w:szCs w:val="20"/>
        </w:rPr>
      </w:pPr>
      <w:r w:rsidRPr="00117C22">
        <w:rPr>
          <w:rFonts w:cstheme="minorHAnsi"/>
          <w:color w:val="000000" w:themeColor="text1"/>
          <w:sz w:val="20"/>
          <w:szCs w:val="20"/>
        </w:rPr>
        <w:t>You must make sure that the red flag or red light is placed in the four-foot where it will be clearly visible to a driver of a train, approaching on that line.</w:t>
      </w:r>
    </w:p>
    <w:p w14:paraId="4531BBC0" w14:textId="77777777" w:rsidR="007E1300" w:rsidRPr="00C75D33" w:rsidRDefault="007E1300" w:rsidP="0027376B">
      <w:pPr>
        <w:rPr>
          <w:rFonts w:cstheme="minorHAnsi"/>
          <w:sz w:val="20"/>
          <w:szCs w:val="20"/>
        </w:rPr>
      </w:pPr>
    </w:p>
    <w:p w14:paraId="2DFBF6A0" w14:textId="57FB03EC" w:rsidR="004C51B6" w:rsidRPr="00322317" w:rsidRDefault="005207C0" w:rsidP="005207C0">
      <w:pPr>
        <w:rPr>
          <w:sz w:val="20"/>
          <w:szCs w:val="20"/>
        </w:rPr>
      </w:pPr>
      <w:r w:rsidRPr="005207C0">
        <w:rPr>
          <w:noProof/>
          <w:sz w:val="20"/>
          <w:szCs w:val="20"/>
        </w:rPr>
        <w:lastRenderedPageBreak/>
        <w:drawing>
          <wp:inline distT="0" distB="0" distL="0" distR="0" wp14:anchorId="53D2582A" wp14:editId="4DD0CB4A">
            <wp:extent cx="6100549" cy="884519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115404" cy="8866735"/>
                    </a:xfrm>
                    <a:prstGeom prst="rect">
                      <a:avLst/>
                    </a:prstGeom>
                  </pic:spPr>
                </pic:pic>
              </a:graphicData>
            </a:graphic>
          </wp:inline>
        </w:drawing>
      </w:r>
    </w:p>
    <w:sectPr w:rsidR="004C51B6" w:rsidRPr="00322317">
      <w:head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4550AD" w14:textId="77777777" w:rsidR="00E806B5" w:rsidRDefault="00E806B5" w:rsidP="0027376B">
      <w:pPr>
        <w:spacing w:after="0" w:line="240" w:lineRule="auto"/>
      </w:pPr>
      <w:r>
        <w:separator/>
      </w:r>
    </w:p>
  </w:endnote>
  <w:endnote w:type="continuationSeparator" w:id="0">
    <w:p w14:paraId="06A6BDE5" w14:textId="77777777" w:rsidR="00E806B5" w:rsidRDefault="00E806B5" w:rsidP="002737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Network Rail Sans">
    <w:panose1 w:val="02000000040000020004"/>
    <w:charset w:val="00"/>
    <w:family w:val="auto"/>
    <w:pitch w:val="variable"/>
    <w:sig w:usb0="A00000AF" w:usb1="5000204A" w:usb2="00000000" w:usb3="00000000" w:csb0="0000009B"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12CB22" w14:textId="77777777" w:rsidR="00E806B5" w:rsidRDefault="00E806B5" w:rsidP="0027376B">
      <w:pPr>
        <w:spacing w:after="0" w:line="240" w:lineRule="auto"/>
      </w:pPr>
      <w:r>
        <w:separator/>
      </w:r>
    </w:p>
  </w:footnote>
  <w:footnote w:type="continuationSeparator" w:id="0">
    <w:p w14:paraId="52C4BFEE" w14:textId="77777777" w:rsidR="00E806B5" w:rsidRDefault="00E806B5" w:rsidP="002737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D89EF" w14:textId="23A6F410" w:rsidR="0027376B" w:rsidRDefault="0027376B">
    <w:pPr>
      <w:pStyle w:val="Header"/>
    </w:pPr>
    <w:r>
      <w:rPr>
        <w:noProof/>
      </w:rPr>
      <mc:AlternateContent>
        <mc:Choice Requires="wps">
          <w:drawing>
            <wp:anchor distT="0" distB="0" distL="114300" distR="114300" simplePos="0" relativeHeight="251657216" behindDoc="0" locked="0" layoutInCell="0" allowOverlap="1" wp14:anchorId="56EDD2B7" wp14:editId="7E68779C">
              <wp:simplePos x="0" y="0"/>
              <wp:positionH relativeFrom="page">
                <wp:posOffset>0</wp:posOffset>
              </wp:positionH>
              <wp:positionV relativeFrom="page">
                <wp:posOffset>190500</wp:posOffset>
              </wp:positionV>
              <wp:extent cx="7560310" cy="273050"/>
              <wp:effectExtent l="0" t="0" r="0" b="12700"/>
              <wp:wrapNone/>
              <wp:docPr id="1" name="MSIPCM04594c6a80072c46325458a5" descr="{&quot;HashCode&quot;:-1288984879,&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5881997" w14:textId="108CC70D" w:rsidR="0027376B" w:rsidRPr="0027376B" w:rsidRDefault="0027376B" w:rsidP="0027376B">
                          <w:pPr>
                            <w:spacing w:after="0"/>
                            <w:jc w:val="center"/>
                            <w:rPr>
                              <w:rFonts w:ascii="Calibri" w:hAnsi="Calibri" w:cs="Calibri"/>
                              <w:color w:val="000000"/>
                              <w:sz w:val="20"/>
                            </w:rPr>
                          </w:pPr>
                          <w:r w:rsidRPr="0027376B">
                            <w:rPr>
                              <w:rFonts w:ascii="Calibri" w:hAnsi="Calibri" w:cs="Calibri"/>
                              <w:color w:val="000000"/>
                              <w:sz w:val="2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56EDD2B7" id="_x0000_t202" coordsize="21600,21600" o:spt="202" path="m,l,21600r21600,l21600,xe">
              <v:stroke joinstyle="miter"/>
              <v:path gradientshapeok="t" o:connecttype="rect"/>
            </v:shapetype>
            <v:shape id="MSIPCM04594c6a80072c46325458a5" o:spid="_x0000_s1026" type="#_x0000_t202" alt="{&quot;HashCode&quot;:-1288984879,&quot;Height&quot;:841.0,&quot;Width&quot;:595.0,&quot;Placement&quot;:&quot;Header&quot;,&quot;Index&quot;:&quot;Primary&quot;,&quot;Section&quot;:1,&quot;Top&quot;:0.0,&quot;Left&quot;:0.0}" style="position:absolute;margin-left:0;margin-top:15pt;width:595.3pt;height:21.5pt;z-index:25165721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17IJrQIAAEcFAAAOAAAAZHJzL2Uyb0RvYy54bWysVEtv2zAMvg/YfxB02GmrncROHK9OkaXo&#10;ViBtA6RDz4osxwZsSZWU2tmw/z5KltPHdhp2sSmS4uPjR51fdE2NnpjSleAZHp2FGDFORV7xfYa/&#10;3199SjDShvCc1IKzDB+ZxheL9+/OW5mysShFnTOFIAjXaSszXBoj0yDQtGQN0WdCMg7GQqiGGDiq&#10;fZAr0kL0pg7GYTgNWqFyqQRlWoP2sjfihYtfFIyau6LQzKA6w1CbcV/lvjv7DRbnJN0rIsuK+jLI&#10;P1TRkIpD0lOoS2IIOqjqj1BNRZXQojBnVDSBKIqKMtcDdDMK33SzLYlkrhcAR8sTTPr/haW3TxuF&#10;qhxmhxEnDYzoZnu9Wd2EUTyP6JQkYTgb02g6GcdRnJAYo5xpCgj+/PB4EObzN6LLlchZf0o/jcZJ&#10;Mk+iZDb/6B1YtS+NNycRUMQbHqrclF4fz+OTflMTyhrGhztDGAJM6WUf4JrnrPMB+t9GVQ1Rx1de&#10;W+AAkNP7jfzdeyG9JjwlXrNiyAnKX5YbrdQpQLSVAJLpvojO4uT1GpR25F2hGvuHYSKwA8uOJ2ax&#10;ziAKylk8DScjMFGwjWeTMHbUC55vS6XNVyYaZIUMK6jaEYo8rbWBjOA6uNhkXFxVde3YW3PUZng6&#10;gZCvLHCj5nDR9tDXaiXT7TrfwE7kR+hLiX4rtKRXFSRfE202RMEaQL2w2uYOPkUtIInwEkalUD/+&#10;prf+wE6wYtTCWmVYPx6IYhjV1xx4Ox9Fkd1DdwBBvdTuBi0/NCsBGwuchKqcaH1NPYiFEs0DbP7S&#10;ZgMT4RRyZtgM4srACQzwclC2XDoZNk4Ss+ZbSW1oC5aF9L57IEp63A1M7FYMi0fSN/D3vj3My4MR&#10;ReVmY4Ht0fR4w7a6kfmXxT4HL8/O6/n9W/wGAAD//wMAUEsDBBQABgAIAAAAIQBLIgnm3AAAAAcB&#10;AAAPAAAAZHJzL2Rvd25yZXYueG1sTI/BTsMwDIbvSLxDZCRuLBmTVlaaTgi0CxISHbtwyxqvrZY4&#10;VZO15e3xTnCyrP/X58/FdvZOjDjELpCG5UKBQKqD7ajRcPjaPTyBiMmQNS4QavjBCNvy9qYwuQ0T&#10;VTjuUyMYQjE3GtqU+lzKWLfoTVyEHomzUxi8SbwOjbSDmRjunXxUai296YgvtKbH1xbr8/7imbJ5&#10;e5/TR/YZoqt20+i/D1nVa31/N788g0g4p78yXPVZHUp2OoYL2SicBn4kaVgpntd0uVFrEEcN2UqB&#10;LAv537/8BQAA//8DAFBLAQItABQABgAIAAAAIQC2gziS/gAAAOEBAAATAAAAAAAAAAAAAAAAAAAA&#10;AABbQ29udGVudF9UeXBlc10ueG1sUEsBAi0AFAAGAAgAAAAhADj9If/WAAAAlAEAAAsAAAAAAAAA&#10;AAAAAAAALwEAAF9yZWxzLy5yZWxzUEsBAi0AFAAGAAgAAAAhAF/XsgmtAgAARwUAAA4AAAAAAAAA&#10;AAAAAAAALgIAAGRycy9lMm9Eb2MueG1sUEsBAi0AFAAGAAgAAAAhAEsiCebcAAAABwEAAA8AAAAA&#10;AAAAAAAAAAAABwUAAGRycy9kb3ducmV2LnhtbFBLBQYAAAAABAAEAPMAAAAQBgAAAAA=&#10;" o:allowincell="f" filled="f" stroked="f" strokeweight=".5pt">
              <v:textbox inset=",0,,0">
                <w:txbxContent>
                  <w:p w14:paraId="65881997" w14:textId="108CC70D" w:rsidR="0027376B" w:rsidRPr="0027376B" w:rsidRDefault="0027376B" w:rsidP="0027376B">
                    <w:pPr>
                      <w:spacing w:after="0"/>
                      <w:jc w:val="center"/>
                      <w:rPr>
                        <w:rFonts w:ascii="Calibri" w:hAnsi="Calibri" w:cs="Calibri"/>
                        <w:color w:val="000000"/>
                        <w:sz w:val="20"/>
                      </w:rPr>
                    </w:pPr>
                    <w:r w:rsidRPr="0027376B">
                      <w:rPr>
                        <w:rFonts w:ascii="Calibri" w:hAnsi="Calibri" w:cs="Calibri"/>
                        <w:color w:val="000000"/>
                        <w:sz w:val="2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A44FEA"/>
    <w:multiLevelType w:val="hybridMultilevel"/>
    <w:tmpl w:val="0052B75C"/>
    <w:lvl w:ilvl="0" w:tplc="C00054B4">
      <w:start w:val="1"/>
      <w:numFmt w:val="bullet"/>
      <w:lvlText w:val="•"/>
      <w:lvlJc w:val="left"/>
      <w:pPr>
        <w:tabs>
          <w:tab w:val="num" w:pos="720"/>
        </w:tabs>
        <w:ind w:left="720" w:hanging="360"/>
      </w:pPr>
      <w:rPr>
        <w:rFonts w:ascii="Arial" w:hAnsi="Arial" w:hint="default"/>
      </w:rPr>
    </w:lvl>
    <w:lvl w:ilvl="1" w:tplc="E48E992C" w:tentative="1">
      <w:start w:val="1"/>
      <w:numFmt w:val="bullet"/>
      <w:lvlText w:val="•"/>
      <w:lvlJc w:val="left"/>
      <w:pPr>
        <w:tabs>
          <w:tab w:val="num" w:pos="1440"/>
        </w:tabs>
        <w:ind w:left="1440" w:hanging="360"/>
      </w:pPr>
      <w:rPr>
        <w:rFonts w:ascii="Arial" w:hAnsi="Arial" w:hint="default"/>
      </w:rPr>
    </w:lvl>
    <w:lvl w:ilvl="2" w:tplc="A6860B00" w:tentative="1">
      <w:start w:val="1"/>
      <w:numFmt w:val="bullet"/>
      <w:lvlText w:val="•"/>
      <w:lvlJc w:val="left"/>
      <w:pPr>
        <w:tabs>
          <w:tab w:val="num" w:pos="2160"/>
        </w:tabs>
        <w:ind w:left="2160" w:hanging="360"/>
      </w:pPr>
      <w:rPr>
        <w:rFonts w:ascii="Arial" w:hAnsi="Arial" w:hint="default"/>
      </w:rPr>
    </w:lvl>
    <w:lvl w:ilvl="3" w:tplc="81F40060" w:tentative="1">
      <w:start w:val="1"/>
      <w:numFmt w:val="bullet"/>
      <w:lvlText w:val="•"/>
      <w:lvlJc w:val="left"/>
      <w:pPr>
        <w:tabs>
          <w:tab w:val="num" w:pos="2880"/>
        </w:tabs>
        <w:ind w:left="2880" w:hanging="360"/>
      </w:pPr>
      <w:rPr>
        <w:rFonts w:ascii="Arial" w:hAnsi="Arial" w:hint="default"/>
      </w:rPr>
    </w:lvl>
    <w:lvl w:ilvl="4" w:tplc="B8AACCC8" w:tentative="1">
      <w:start w:val="1"/>
      <w:numFmt w:val="bullet"/>
      <w:lvlText w:val="•"/>
      <w:lvlJc w:val="left"/>
      <w:pPr>
        <w:tabs>
          <w:tab w:val="num" w:pos="3600"/>
        </w:tabs>
        <w:ind w:left="3600" w:hanging="360"/>
      </w:pPr>
      <w:rPr>
        <w:rFonts w:ascii="Arial" w:hAnsi="Arial" w:hint="default"/>
      </w:rPr>
    </w:lvl>
    <w:lvl w:ilvl="5" w:tplc="CB480600" w:tentative="1">
      <w:start w:val="1"/>
      <w:numFmt w:val="bullet"/>
      <w:lvlText w:val="•"/>
      <w:lvlJc w:val="left"/>
      <w:pPr>
        <w:tabs>
          <w:tab w:val="num" w:pos="4320"/>
        </w:tabs>
        <w:ind w:left="4320" w:hanging="360"/>
      </w:pPr>
      <w:rPr>
        <w:rFonts w:ascii="Arial" w:hAnsi="Arial" w:hint="default"/>
      </w:rPr>
    </w:lvl>
    <w:lvl w:ilvl="6" w:tplc="97B0CC4E" w:tentative="1">
      <w:start w:val="1"/>
      <w:numFmt w:val="bullet"/>
      <w:lvlText w:val="•"/>
      <w:lvlJc w:val="left"/>
      <w:pPr>
        <w:tabs>
          <w:tab w:val="num" w:pos="5040"/>
        </w:tabs>
        <w:ind w:left="5040" w:hanging="360"/>
      </w:pPr>
      <w:rPr>
        <w:rFonts w:ascii="Arial" w:hAnsi="Arial" w:hint="default"/>
      </w:rPr>
    </w:lvl>
    <w:lvl w:ilvl="7" w:tplc="7A50E92C" w:tentative="1">
      <w:start w:val="1"/>
      <w:numFmt w:val="bullet"/>
      <w:lvlText w:val="•"/>
      <w:lvlJc w:val="left"/>
      <w:pPr>
        <w:tabs>
          <w:tab w:val="num" w:pos="5760"/>
        </w:tabs>
        <w:ind w:left="5760" w:hanging="360"/>
      </w:pPr>
      <w:rPr>
        <w:rFonts w:ascii="Arial" w:hAnsi="Arial" w:hint="default"/>
      </w:rPr>
    </w:lvl>
    <w:lvl w:ilvl="8" w:tplc="FE64D952"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561A5A4C"/>
    <w:multiLevelType w:val="hybridMultilevel"/>
    <w:tmpl w:val="A88C7A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1153B4D"/>
    <w:multiLevelType w:val="hybridMultilevel"/>
    <w:tmpl w:val="52C251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7794C23"/>
    <w:multiLevelType w:val="hybridMultilevel"/>
    <w:tmpl w:val="3B6E4D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2C94967"/>
    <w:multiLevelType w:val="hybridMultilevel"/>
    <w:tmpl w:val="63E012D8"/>
    <w:lvl w:ilvl="0" w:tplc="89DC63FC">
      <w:start w:val="1"/>
      <w:numFmt w:val="bullet"/>
      <w:lvlText w:val="•"/>
      <w:lvlJc w:val="left"/>
      <w:pPr>
        <w:ind w:left="1080" w:hanging="360"/>
      </w:pPr>
      <w:rPr>
        <w:rFonts w:ascii="Arial" w:hAnsi="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7E2C2CED"/>
    <w:multiLevelType w:val="hybridMultilevel"/>
    <w:tmpl w:val="0B181DBC"/>
    <w:lvl w:ilvl="0" w:tplc="29EA5FA8">
      <w:start w:val="1"/>
      <w:numFmt w:val="bullet"/>
      <w:lvlText w:val="•"/>
      <w:lvlJc w:val="left"/>
      <w:pPr>
        <w:tabs>
          <w:tab w:val="num" w:pos="720"/>
        </w:tabs>
        <w:ind w:left="720" w:hanging="360"/>
      </w:pPr>
      <w:rPr>
        <w:rFonts w:ascii="Arial" w:hAnsi="Arial" w:hint="default"/>
      </w:rPr>
    </w:lvl>
    <w:lvl w:ilvl="1" w:tplc="36B2A204" w:tentative="1">
      <w:start w:val="1"/>
      <w:numFmt w:val="bullet"/>
      <w:lvlText w:val="•"/>
      <w:lvlJc w:val="left"/>
      <w:pPr>
        <w:tabs>
          <w:tab w:val="num" w:pos="1440"/>
        </w:tabs>
        <w:ind w:left="1440" w:hanging="360"/>
      </w:pPr>
      <w:rPr>
        <w:rFonts w:ascii="Arial" w:hAnsi="Arial" w:hint="default"/>
      </w:rPr>
    </w:lvl>
    <w:lvl w:ilvl="2" w:tplc="E51847BC" w:tentative="1">
      <w:start w:val="1"/>
      <w:numFmt w:val="bullet"/>
      <w:lvlText w:val="•"/>
      <w:lvlJc w:val="left"/>
      <w:pPr>
        <w:tabs>
          <w:tab w:val="num" w:pos="2160"/>
        </w:tabs>
        <w:ind w:left="2160" w:hanging="360"/>
      </w:pPr>
      <w:rPr>
        <w:rFonts w:ascii="Arial" w:hAnsi="Arial" w:hint="default"/>
      </w:rPr>
    </w:lvl>
    <w:lvl w:ilvl="3" w:tplc="452ABBE8" w:tentative="1">
      <w:start w:val="1"/>
      <w:numFmt w:val="bullet"/>
      <w:lvlText w:val="•"/>
      <w:lvlJc w:val="left"/>
      <w:pPr>
        <w:tabs>
          <w:tab w:val="num" w:pos="2880"/>
        </w:tabs>
        <w:ind w:left="2880" w:hanging="360"/>
      </w:pPr>
      <w:rPr>
        <w:rFonts w:ascii="Arial" w:hAnsi="Arial" w:hint="default"/>
      </w:rPr>
    </w:lvl>
    <w:lvl w:ilvl="4" w:tplc="324CEA68" w:tentative="1">
      <w:start w:val="1"/>
      <w:numFmt w:val="bullet"/>
      <w:lvlText w:val="•"/>
      <w:lvlJc w:val="left"/>
      <w:pPr>
        <w:tabs>
          <w:tab w:val="num" w:pos="3600"/>
        </w:tabs>
        <w:ind w:left="3600" w:hanging="360"/>
      </w:pPr>
      <w:rPr>
        <w:rFonts w:ascii="Arial" w:hAnsi="Arial" w:hint="default"/>
      </w:rPr>
    </w:lvl>
    <w:lvl w:ilvl="5" w:tplc="431AD224" w:tentative="1">
      <w:start w:val="1"/>
      <w:numFmt w:val="bullet"/>
      <w:lvlText w:val="•"/>
      <w:lvlJc w:val="left"/>
      <w:pPr>
        <w:tabs>
          <w:tab w:val="num" w:pos="4320"/>
        </w:tabs>
        <w:ind w:left="4320" w:hanging="360"/>
      </w:pPr>
      <w:rPr>
        <w:rFonts w:ascii="Arial" w:hAnsi="Arial" w:hint="default"/>
      </w:rPr>
    </w:lvl>
    <w:lvl w:ilvl="6" w:tplc="289C4A4A" w:tentative="1">
      <w:start w:val="1"/>
      <w:numFmt w:val="bullet"/>
      <w:lvlText w:val="•"/>
      <w:lvlJc w:val="left"/>
      <w:pPr>
        <w:tabs>
          <w:tab w:val="num" w:pos="5040"/>
        </w:tabs>
        <w:ind w:left="5040" w:hanging="360"/>
      </w:pPr>
      <w:rPr>
        <w:rFonts w:ascii="Arial" w:hAnsi="Arial" w:hint="default"/>
      </w:rPr>
    </w:lvl>
    <w:lvl w:ilvl="7" w:tplc="775A22CE" w:tentative="1">
      <w:start w:val="1"/>
      <w:numFmt w:val="bullet"/>
      <w:lvlText w:val="•"/>
      <w:lvlJc w:val="left"/>
      <w:pPr>
        <w:tabs>
          <w:tab w:val="num" w:pos="5760"/>
        </w:tabs>
        <w:ind w:left="5760" w:hanging="360"/>
      </w:pPr>
      <w:rPr>
        <w:rFonts w:ascii="Arial" w:hAnsi="Arial" w:hint="default"/>
      </w:rPr>
    </w:lvl>
    <w:lvl w:ilvl="8" w:tplc="A0DC901E" w:tentative="1">
      <w:start w:val="1"/>
      <w:numFmt w:val="bullet"/>
      <w:lvlText w:val="•"/>
      <w:lvlJc w:val="left"/>
      <w:pPr>
        <w:tabs>
          <w:tab w:val="num" w:pos="6480"/>
        </w:tabs>
        <w:ind w:left="6480" w:hanging="360"/>
      </w:pPr>
      <w:rPr>
        <w:rFonts w:ascii="Arial" w:hAnsi="Arial" w:hint="default"/>
      </w:rPr>
    </w:lvl>
  </w:abstractNum>
  <w:num w:numId="1">
    <w:abstractNumId w:val="2"/>
  </w:num>
  <w:num w:numId="2">
    <w:abstractNumId w:val="3"/>
  </w:num>
  <w:num w:numId="3">
    <w:abstractNumId w:val="1"/>
  </w:num>
  <w:num w:numId="4">
    <w:abstractNumId w:val="5"/>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3A4C"/>
    <w:rsid w:val="0000223D"/>
    <w:rsid w:val="000B21E7"/>
    <w:rsid w:val="000D02EA"/>
    <w:rsid w:val="000E6888"/>
    <w:rsid w:val="001147EF"/>
    <w:rsid w:val="00117C22"/>
    <w:rsid w:val="0016131B"/>
    <w:rsid w:val="00187055"/>
    <w:rsid w:val="00202FAB"/>
    <w:rsid w:val="002122C9"/>
    <w:rsid w:val="0027376B"/>
    <w:rsid w:val="00275715"/>
    <w:rsid w:val="0032091D"/>
    <w:rsid w:val="00322317"/>
    <w:rsid w:val="003238DF"/>
    <w:rsid w:val="003618EA"/>
    <w:rsid w:val="003700CE"/>
    <w:rsid w:val="00386B62"/>
    <w:rsid w:val="003B113D"/>
    <w:rsid w:val="003B260A"/>
    <w:rsid w:val="00427D1D"/>
    <w:rsid w:val="00461428"/>
    <w:rsid w:val="00487CC2"/>
    <w:rsid w:val="004C51B6"/>
    <w:rsid w:val="005207C0"/>
    <w:rsid w:val="00545989"/>
    <w:rsid w:val="00556379"/>
    <w:rsid w:val="00584334"/>
    <w:rsid w:val="005C4CD2"/>
    <w:rsid w:val="005E20C4"/>
    <w:rsid w:val="00641D21"/>
    <w:rsid w:val="00660C8C"/>
    <w:rsid w:val="00663999"/>
    <w:rsid w:val="006A0CC7"/>
    <w:rsid w:val="006A16E5"/>
    <w:rsid w:val="0070676F"/>
    <w:rsid w:val="00743E18"/>
    <w:rsid w:val="007A05B7"/>
    <w:rsid w:val="007E1300"/>
    <w:rsid w:val="00826463"/>
    <w:rsid w:val="00833E87"/>
    <w:rsid w:val="008A369F"/>
    <w:rsid w:val="008B4914"/>
    <w:rsid w:val="008E4742"/>
    <w:rsid w:val="008F586B"/>
    <w:rsid w:val="00A739C4"/>
    <w:rsid w:val="00A83A4C"/>
    <w:rsid w:val="00A84F0A"/>
    <w:rsid w:val="00A97E29"/>
    <w:rsid w:val="00AE71BB"/>
    <w:rsid w:val="00B1697F"/>
    <w:rsid w:val="00C3428E"/>
    <w:rsid w:val="00C34CF3"/>
    <w:rsid w:val="00C75D33"/>
    <w:rsid w:val="00CA549A"/>
    <w:rsid w:val="00D27C9A"/>
    <w:rsid w:val="00D95B62"/>
    <w:rsid w:val="00DA4B41"/>
    <w:rsid w:val="00DC7438"/>
    <w:rsid w:val="00DD36F1"/>
    <w:rsid w:val="00E806B5"/>
    <w:rsid w:val="00E92F6C"/>
    <w:rsid w:val="00EA0D45"/>
    <w:rsid w:val="00FA0A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C9ABE64"/>
  <w15:chartTrackingRefBased/>
  <w15:docId w15:val="{61A8090A-6867-48EB-88E6-AFC499163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4742"/>
  </w:style>
  <w:style w:type="paragraph" w:styleId="Heading1">
    <w:name w:val="heading 1"/>
    <w:basedOn w:val="Normal"/>
    <w:next w:val="Normal"/>
    <w:link w:val="Heading1Char"/>
    <w:uiPriority w:val="9"/>
    <w:qFormat/>
    <w:rsid w:val="004C51B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C51B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4C51B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86B62"/>
    <w:pPr>
      <w:spacing w:after="0" w:line="240" w:lineRule="auto"/>
    </w:pPr>
  </w:style>
  <w:style w:type="character" w:customStyle="1" w:styleId="Heading1Char">
    <w:name w:val="Heading 1 Char"/>
    <w:basedOn w:val="DefaultParagraphFont"/>
    <w:link w:val="Heading1"/>
    <w:uiPriority w:val="9"/>
    <w:rsid w:val="004C51B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4C51B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4C51B6"/>
    <w:rPr>
      <w:rFonts w:asciiTheme="majorHAnsi" w:eastAsiaTheme="majorEastAsia" w:hAnsiTheme="majorHAnsi" w:cstheme="majorBidi"/>
      <w:color w:val="1F3763" w:themeColor="accent1" w:themeShade="7F"/>
      <w:sz w:val="24"/>
      <w:szCs w:val="24"/>
    </w:rPr>
  </w:style>
  <w:style w:type="paragraph" w:styleId="Header">
    <w:name w:val="header"/>
    <w:basedOn w:val="Normal"/>
    <w:link w:val="HeaderChar"/>
    <w:uiPriority w:val="99"/>
    <w:unhideWhenUsed/>
    <w:rsid w:val="0027376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7376B"/>
  </w:style>
  <w:style w:type="paragraph" w:styleId="Footer">
    <w:name w:val="footer"/>
    <w:basedOn w:val="Normal"/>
    <w:link w:val="FooterChar"/>
    <w:uiPriority w:val="99"/>
    <w:unhideWhenUsed/>
    <w:rsid w:val="0027376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7376B"/>
  </w:style>
  <w:style w:type="character" w:styleId="CommentReference">
    <w:name w:val="annotation reference"/>
    <w:basedOn w:val="DefaultParagraphFont"/>
    <w:uiPriority w:val="99"/>
    <w:semiHidden/>
    <w:unhideWhenUsed/>
    <w:rsid w:val="000E6888"/>
    <w:rPr>
      <w:sz w:val="16"/>
      <w:szCs w:val="16"/>
    </w:rPr>
  </w:style>
  <w:style w:type="paragraph" w:styleId="CommentText">
    <w:name w:val="annotation text"/>
    <w:basedOn w:val="Normal"/>
    <w:link w:val="CommentTextChar"/>
    <w:uiPriority w:val="99"/>
    <w:semiHidden/>
    <w:unhideWhenUsed/>
    <w:rsid w:val="000E6888"/>
    <w:pPr>
      <w:spacing w:line="240" w:lineRule="auto"/>
    </w:pPr>
    <w:rPr>
      <w:sz w:val="20"/>
      <w:szCs w:val="20"/>
    </w:rPr>
  </w:style>
  <w:style w:type="character" w:customStyle="1" w:styleId="CommentTextChar">
    <w:name w:val="Comment Text Char"/>
    <w:basedOn w:val="DefaultParagraphFont"/>
    <w:link w:val="CommentText"/>
    <w:uiPriority w:val="99"/>
    <w:semiHidden/>
    <w:rsid w:val="000E6888"/>
    <w:rPr>
      <w:sz w:val="20"/>
      <w:szCs w:val="20"/>
    </w:rPr>
  </w:style>
  <w:style w:type="paragraph" w:styleId="CommentSubject">
    <w:name w:val="annotation subject"/>
    <w:basedOn w:val="CommentText"/>
    <w:next w:val="CommentText"/>
    <w:link w:val="CommentSubjectChar"/>
    <w:uiPriority w:val="99"/>
    <w:semiHidden/>
    <w:unhideWhenUsed/>
    <w:rsid w:val="000E6888"/>
    <w:rPr>
      <w:b/>
      <w:bCs/>
    </w:rPr>
  </w:style>
  <w:style w:type="character" w:customStyle="1" w:styleId="CommentSubjectChar">
    <w:name w:val="Comment Subject Char"/>
    <w:basedOn w:val="CommentTextChar"/>
    <w:link w:val="CommentSubject"/>
    <w:uiPriority w:val="99"/>
    <w:semiHidden/>
    <w:rsid w:val="000E6888"/>
    <w:rPr>
      <w:b/>
      <w:bCs/>
      <w:sz w:val="20"/>
      <w:szCs w:val="20"/>
    </w:rPr>
  </w:style>
  <w:style w:type="paragraph" w:styleId="ListParagraph">
    <w:name w:val="List Paragraph"/>
    <w:basedOn w:val="Normal"/>
    <w:uiPriority w:val="34"/>
    <w:qFormat/>
    <w:rsid w:val="00117C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58520B8B8BB2B4AB47EB90A6E6D0798" ma:contentTypeVersion="9" ma:contentTypeDescription="Create a new document." ma:contentTypeScope="" ma:versionID="3353807b538f8e4d4c1c12ba5e045379">
  <xsd:schema xmlns:xsd="http://www.w3.org/2001/XMLSchema" xmlns:xs="http://www.w3.org/2001/XMLSchema" xmlns:p="http://schemas.microsoft.com/office/2006/metadata/properties" xmlns:ns2="bf552918-7d4f-4642-8e96-489a27d902ac" xmlns:ns3="2b5c55b4-6a33-474a-861d-8221dc6b9a3b" targetNamespace="http://schemas.microsoft.com/office/2006/metadata/properties" ma:root="true" ma:fieldsID="c08d13ee6639a09e2981cbf47e034c27" ns2:_="" ns3:_="">
    <xsd:import namespace="bf552918-7d4f-4642-8e96-489a27d902ac"/>
    <xsd:import namespace="2b5c55b4-6a33-474a-861d-8221dc6b9a3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552918-7d4f-4642-8e96-489a27d902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b5c55b4-6a33-474a-861d-8221dc6b9a3b"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B5A8884-31F3-4059-BDB8-186BD97383FD}"/>
</file>

<file path=customXml/itemProps2.xml><?xml version="1.0" encoding="utf-8"?>
<ds:datastoreItem xmlns:ds="http://schemas.openxmlformats.org/officeDocument/2006/customXml" ds:itemID="{30D09C3A-5305-46C1-9CDB-7737BA97A22E}"/>
</file>

<file path=customXml/itemProps3.xml><?xml version="1.0" encoding="utf-8"?>
<ds:datastoreItem xmlns:ds="http://schemas.openxmlformats.org/officeDocument/2006/customXml" ds:itemID="{C121B09C-A414-4294-A3BC-8EED7494B687}"/>
</file>

<file path=docProps/app.xml><?xml version="1.0" encoding="utf-8"?>
<Properties xmlns="http://schemas.openxmlformats.org/officeDocument/2006/extended-properties" xmlns:vt="http://schemas.openxmlformats.org/officeDocument/2006/docPropsVTypes">
  <Template>Normal.dotm</Template>
  <TotalTime>3</TotalTime>
  <Pages>4</Pages>
  <Words>1109</Words>
  <Characters>6323</Characters>
  <Application>Microsoft Office Word</Application>
  <DocSecurity>4</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Chandler Andrew</dc:creator>
  <cp:keywords/>
  <dc:description/>
  <cp:lastModifiedBy>Tony Raine</cp:lastModifiedBy>
  <cp:revision>2</cp:revision>
  <dcterms:created xsi:type="dcterms:W3CDTF">2022-04-26T09:19:00Z</dcterms:created>
  <dcterms:modified xsi:type="dcterms:W3CDTF">2022-04-26T09:19:00Z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577031b-11bc-4db9-b655-7d79027ad570_Enabled">
    <vt:lpwstr>true</vt:lpwstr>
  </property>
  <property fmtid="{D5CDD505-2E9C-101B-9397-08002B2CF9AE}" pid="3" name="MSIP_Label_8577031b-11bc-4db9-b655-7d79027ad570_SetDate">
    <vt:lpwstr>2022-04-26T09:19:55Z</vt:lpwstr>
  </property>
  <property fmtid="{D5CDD505-2E9C-101B-9397-08002B2CF9AE}" pid="4" name="MSIP_Label_8577031b-11bc-4db9-b655-7d79027ad570_Method">
    <vt:lpwstr>Standard</vt:lpwstr>
  </property>
  <property fmtid="{D5CDD505-2E9C-101B-9397-08002B2CF9AE}" pid="5" name="MSIP_Label_8577031b-11bc-4db9-b655-7d79027ad570_Name">
    <vt:lpwstr>8577031b-11bc-4db9-b655-7d79027ad570</vt:lpwstr>
  </property>
  <property fmtid="{D5CDD505-2E9C-101B-9397-08002B2CF9AE}" pid="6" name="MSIP_Label_8577031b-11bc-4db9-b655-7d79027ad570_SiteId">
    <vt:lpwstr>c22cc3e1-5d7f-4f4d-be03-d5a158cc9409</vt:lpwstr>
  </property>
  <property fmtid="{D5CDD505-2E9C-101B-9397-08002B2CF9AE}" pid="7" name="MSIP_Label_8577031b-11bc-4db9-b655-7d79027ad570_ActionId">
    <vt:lpwstr>0c88d952-bc92-446f-8237-0736225ad6e7</vt:lpwstr>
  </property>
  <property fmtid="{D5CDD505-2E9C-101B-9397-08002B2CF9AE}" pid="8" name="MSIP_Label_8577031b-11bc-4db9-b655-7d79027ad570_ContentBits">
    <vt:lpwstr>1</vt:lpwstr>
  </property>
  <property fmtid="{D5CDD505-2E9C-101B-9397-08002B2CF9AE}" pid="9" name="ContentTypeId">
    <vt:lpwstr>0x010100F58520B8B8BB2B4AB47EB90A6E6D0798</vt:lpwstr>
  </property>
</Properties>
</file>