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7C" w:rsidRDefault="00BB3F30" w:rsidP="00BB3F30">
      <w:pPr>
        <w:jc w:val="right"/>
        <w:rPr>
          <w:rFonts w:ascii="Arial" w:hAnsi="Arial" w:cs="Arial"/>
          <w:sz w:val="20"/>
          <w:szCs w:val="20"/>
        </w:rPr>
      </w:pPr>
      <w:r>
        <w:rPr>
          <w:noProof/>
          <w:color w:val="0000FF"/>
          <w:sz w:val="21"/>
          <w:szCs w:val="21"/>
          <w:lang w:eastAsia="en-GB"/>
        </w:rPr>
        <w:drawing>
          <wp:inline distT="0" distB="0" distL="0" distR="0" wp14:anchorId="428CF83F" wp14:editId="351C6DE4">
            <wp:extent cx="1905000" cy="723900"/>
            <wp:effectExtent l="0" t="0" r="0" b="0"/>
            <wp:docPr id="2" name="Picture 2" descr="Network Rail">
              <a:hlinkClick xmlns:a="http://schemas.openxmlformats.org/drawingml/2006/main" r:id="rId10" tooltip="&quot;Network R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work Rail">
                      <a:hlinkClick r:id="rId10" tooltip="&quot;Network R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p w:rsidR="00893A7C" w:rsidRPr="00893A7C" w:rsidRDefault="00ED364C" w:rsidP="00BB3F30">
      <w:pPr>
        <w:pStyle w:val="ERPHTitle"/>
      </w:pPr>
      <w:r>
        <w:t>Utilities Devolution Phase 2</w:t>
      </w:r>
    </w:p>
    <w:p w:rsidR="00893A7C" w:rsidRDefault="00893A7C">
      <w:pPr>
        <w:rPr>
          <w:rFonts w:ascii="Arial" w:hAnsi="Arial" w:cs="Arial"/>
          <w:sz w:val="20"/>
          <w:szCs w:val="20"/>
        </w:rPr>
      </w:pPr>
      <w:r>
        <w:rPr>
          <w:rFonts w:ascii="Arial" w:hAnsi="Arial" w:cs="Arial"/>
          <w:sz w:val="20"/>
          <w:szCs w:val="20"/>
        </w:rPr>
        <w:t xml:space="preserve">Version </w:t>
      </w:r>
      <w:r w:rsidR="0086304E">
        <w:rPr>
          <w:rFonts w:ascii="Arial" w:hAnsi="Arial" w:cs="Arial"/>
          <w:sz w:val="20"/>
          <w:szCs w:val="20"/>
        </w:rPr>
        <w:t>1.00</w:t>
      </w:r>
    </w:p>
    <w:p w:rsidR="00893A7C" w:rsidRDefault="00ED364C">
      <w:pPr>
        <w:rPr>
          <w:rFonts w:ascii="Arial" w:hAnsi="Arial" w:cs="Arial"/>
          <w:sz w:val="20"/>
          <w:szCs w:val="20"/>
        </w:rPr>
      </w:pPr>
      <w:r>
        <w:rPr>
          <w:rFonts w:ascii="Arial" w:hAnsi="Arial" w:cs="Arial"/>
          <w:sz w:val="20"/>
          <w:szCs w:val="20"/>
        </w:rPr>
        <w:t>March</w:t>
      </w:r>
      <w:r w:rsidR="00180BE3">
        <w:rPr>
          <w:rFonts w:ascii="Arial" w:hAnsi="Arial" w:cs="Arial"/>
          <w:sz w:val="20"/>
          <w:szCs w:val="20"/>
        </w:rPr>
        <w:t xml:space="preserve"> 2016</w:t>
      </w:r>
    </w:p>
    <w:p w:rsidR="00F26E2B" w:rsidRDefault="00F26E2B">
      <w:pPr>
        <w:rPr>
          <w:rFonts w:ascii="Arial" w:hAnsi="Arial" w:cs="Arial"/>
          <w:sz w:val="20"/>
          <w:szCs w:val="20"/>
        </w:rPr>
      </w:pPr>
    </w:p>
    <w:p w:rsidR="006A3FDE" w:rsidRPr="001A2F01" w:rsidRDefault="006A3FDE">
      <w:pPr>
        <w:rPr>
          <w:rFonts w:ascii="Arial" w:hAnsi="Arial" w:cs="Arial"/>
          <w:b/>
          <w:sz w:val="20"/>
          <w:szCs w:val="20"/>
          <w:u w:val="single"/>
        </w:rPr>
      </w:pPr>
      <w:r w:rsidRPr="001A2F01">
        <w:rPr>
          <w:rFonts w:ascii="Arial" w:hAnsi="Arial" w:cs="Arial"/>
          <w:b/>
          <w:sz w:val="20"/>
          <w:szCs w:val="20"/>
          <w:u w:val="single"/>
        </w:rPr>
        <w:t>Contents</w:t>
      </w:r>
    </w:p>
    <w:p w:rsidR="006A3FDE" w:rsidRPr="00CA6C19" w:rsidRDefault="007D5C9E" w:rsidP="00CA6C19">
      <w:pPr>
        <w:pStyle w:val="ListParagraph"/>
        <w:numPr>
          <w:ilvl w:val="0"/>
          <w:numId w:val="19"/>
        </w:numPr>
        <w:jc w:val="both"/>
        <w:rPr>
          <w:rFonts w:ascii="Arial" w:hAnsi="Arial" w:cs="Arial"/>
          <w:sz w:val="20"/>
          <w:szCs w:val="20"/>
        </w:rPr>
      </w:pPr>
      <w:r w:rsidRPr="00CA6C19">
        <w:rPr>
          <w:rFonts w:ascii="Arial" w:hAnsi="Arial" w:cs="Arial"/>
          <w:sz w:val="20"/>
          <w:szCs w:val="20"/>
        </w:rPr>
        <w:t>Version Control</w:t>
      </w:r>
    </w:p>
    <w:p w:rsidR="0026478E" w:rsidRPr="00CA6C19" w:rsidRDefault="0026478E" w:rsidP="00CA6C19">
      <w:pPr>
        <w:pStyle w:val="ListParagraph"/>
        <w:numPr>
          <w:ilvl w:val="0"/>
          <w:numId w:val="19"/>
        </w:numPr>
        <w:jc w:val="both"/>
        <w:rPr>
          <w:rFonts w:ascii="Arial" w:hAnsi="Arial" w:cs="Arial"/>
          <w:sz w:val="20"/>
          <w:szCs w:val="20"/>
        </w:rPr>
      </w:pPr>
      <w:r w:rsidRPr="00CA6C19">
        <w:rPr>
          <w:rFonts w:ascii="Arial" w:hAnsi="Arial" w:cs="Arial"/>
          <w:sz w:val="20"/>
          <w:szCs w:val="20"/>
        </w:rPr>
        <w:t>Background</w:t>
      </w:r>
    </w:p>
    <w:p w:rsidR="00906B57" w:rsidRPr="00CA6C19" w:rsidRDefault="00906B57" w:rsidP="00CA6C19">
      <w:pPr>
        <w:pStyle w:val="ListParagraph"/>
        <w:numPr>
          <w:ilvl w:val="0"/>
          <w:numId w:val="19"/>
        </w:numPr>
        <w:jc w:val="both"/>
        <w:rPr>
          <w:rFonts w:ascii="Arial" w:hAnsi="Arial" w:cs="Arial"/>
          <w:sz w:val="20"/>
          <w:szCs w:val="20"/>
        </w:rPr>
      </w:pPr>
      <w:r w:rsidRPr="00CA6C19">
        <w:rPr>
          <w:rFonts w:ascii="Arial" w:hAnsi="Arial" w:cs="Arial"/>
          <w:sz w:val="20"/>
          <w:szCs w:val="20"/>
        </w:rPr>
        <w:t>Phase 2</w:t>
      </w:r>
    </w:p>
    <w:p w:rsidR="00906B57" w:rsidRPr="00CA6C19" w:rsidRDefault="00906B57" w:rsidP="00CA6C19">
      <w:pPr>
        <w:pStyle w:val="ListParagraph"/>
        <w:numPr>
          <w:ilvl w:val="0"/>
          <w:numId w:val="19"/>
        </w:numPr>
        <w:jc w:val="both"/>
        <w:rPr>
          <w:rFonts w:ascii="Arial" w:hAnsi="Arial" w:cs="Arial"/>
          <w:sz w:val="20"/>
          <w:szCs w:val="20"/>
        </w:rPr>
      </w:pPr>
      <w:r w:rsidRPr="00CA6C19">
        <w:rPr>
          <w:rFonts w:ascii="Arial" w:hAnsi="Arial" w:cs="Arial"/>
          <w:sz w:val="20"/>
          <w:szCs w:val="20"/>
        </w:rPr>
        <w:t>Key Features of Phase 2</w:t>
      </w:r>
    </w:p>
    <w:p w:rsidR="00906B57" w:rsidRDefault="00906B57" w:rsidP="00CA6C19">
      <w:pPr>
        <w:pStyle w:val="ListParagraph"/>
        <w:numPr>
          <w:ilvl w:val="0"/>
          <w:numId w:val="19"/>
        </w:numPr>
        <w:jc w:val="both"/>
        <w:rPr>
          <w:rFonts w:ascii="Arial" w:hAnsi="Arial" w:cs="Arial"/>
          <w:sz w:val="20"/>
          <w:szCs w:val="20"/>
        </w:rPr>
      </w:pPr>
      <w:r w:rsidRPr="00CA6C19">
        <w:rPr>
          <w:rFonts w:ascii="Arial" w:hAnsi="Arial" w:cs="Arial"/>
          <w:sz w:val="20"/>
          <w:szCs w:val="20"/>
        </w:rPr>
        <w:t>Development of the model</w:t>
      </w:r>
      <w:r w:rsidR="009E71CF">
        <w:rPr>
          <w:rFonts w:ascii="Arial" w:hAnsi="Arial" w:cs="Arial"/>
          <w:sz w:val="20"/>
          <w:szCs w:val="20"/>
        </w:rPr>
        <w:t xml:space="preserve"> – Gas &amp; Electricity</w:t>
      </w:r>
    </w:p>
    <w:p w:rsidR="00F26E2B" w:rsidRDefault="009E71CF" w:rsidP="00CA6C19">
      <w:pPr>
        <w:pStyle w:val="ListParagraph"/>
        <w:numPr>
          <w:ilvl w:val="0"/>
          <w:numId w:val="19"/>
        </w:numPr>
        <w:jc w:val="both"/>
        <w:rPr>
          <w:rFonts w:ascii="Arial" w:hAnsi="Arial" w:cs="Arial"/>
          <w:sz w:val="20"/>
          <w:szCs w:val="20"/>
        </w:rPr>
      </w:pPr>
      <w:r>
        <w:rPr>
          <w:rFonts w:ascii="Arial" w:hAnsi="Arial" w:cs="Arial"/>
          <w:sz w:val="20"/>
          <w:szCs w:val="20"/>
        </w:rPr>
        <w:t>Rates</w:t>
      </w:r>
    </w:p>
    <w:p w:rsidR="00FA7171" w:rsidRDefault="00FA7171" w:rsidP="00CA6C19">
      <w:pPr>
        <w:pStyle w:val="ListParagraph"/>
        <w:numPr>
          <w:ilvl w:val="0"/>
          <w:numId w:val="19"/>
        </w:numPr>
        <w:jc w:val="both"/>
        <w:rPr>
          <w:rFonts w:ascii="Arial" w:hAnsi="Arial" w:cs="Arial"/>
          <w:sz w:val="20"/>
          <w:szCs w:val="20"/>
        </w:rPr>
      </w:pPr>
      <w:r>
        <w:rPr>
          <w:rFonts w:ascii="Arial" w:hAnsi="Arial" w:cs="Arial"/>
          <w:sz w:val="20"/>
          <w:szCs w:val="20"/>
        </w:rPr>
        <w:t>Water</w:t>
      </w:r>
    </w:p>
    <w:p w:rsidR="009E71CF" w:rsidRPr="00CA6C19" w:rsidRDefault="009E71CF" w:rsidP="00CA6C19">
      <w:pPr>
        <w:pStyle w:val="ListParagraph"/>
        <w:numPr>
          <w:ilvl w:val="0"/>
          <w:numId w:val="19"/>
        </w:numPr>
        <w:jc w:val="both"/>
        <w:rPr>
          <w:rFonts w:ascii="Arial" w:hAnsi="Arial" w:cs="Arial"/>
          <w:sz w:val="20"/>
          <w:szCs w:val="20"/>
        </w:rPr>
      </w:pPr>
      <w:r>
        <w:rPr>
          <w:rFonts w:ascii="Arial" w:hAnsi="Arial" w:cs="Arial"/>
          <w:sz w:val="20"/>
          <w:szCs w:val="20"/>
        </w:rPr>
        <w:t>Income</w:t>
      </w:r>
      <w:r w:rsidR="00165984">
        <w:rPr>
          <w:rFonts w:ascii="Arial" w:hAnsi="Arial" w:cs="Arial"/>
          <w:sz w:val="20"/>
          <w:szCs w:val="20"/>
        </w:rPr>
        <w:t xml:space="preserve"> &amp; Non Consumption</w:t>
      </w:r>
    </w:p>
    <w:p w:rsidR="00906B57" w:rsidRPr="00CA6C19" w:rsidRDefault="00906B57" w:rsidP="00CA6C19">
      <w:pPr>
        <w:pStyle w:val="ListParagraph"/>
        <w:numPr>
          <w:ilvl w:val="0"/>
          <w:numId w:val="19"/>
        </w:numPr>
        <w:jc w:val="both"/>
        <w:rPr>
          <w:rFonts w:ascii="Arial" w:hAnsi="Arial" w:cs="Arial"/>
          <w:sz w:val="20"/>
          <w:szCs w:val="20"/>
        </w:rPr>
      </w:pPr>
      <w:r w:rsidRPr="00CA6C19">
        <w:rPr>
          <w:rFonts w:ascii="Arial" w:hAnsi="Arial" w:cs="Arial"/>
          <w:sz w:val="20"/>
          <w:szCs w:val="20"/>
        </w:rPr>
        <w:t>Efficiencies</w:t>
      </w:r>
    </w:p>
    <w:p w:rsidR="00906B57" w:rsidRPr="00CA6C19" w:rsidRDefault="00906B57" w:rsidP="00CA6C19">
      <w:pPr>
        <w:pStyle w:val="ListParagraph"/>
        <w:numPr>
          <w:ilvl w:val="0"/>
          <w:numId w:val="19"/>
        </w:numPr>
        <w:jc w:val="both"/>
        <w:rPr>
          <w:rFonts w:ascii="Arial" w:hAnsi="Arial" w:cs="Arial"/>
          <w:sz w:val="20"/>
          <w:szCs w:val="20"/>
        </w:rPr>
      </w:pPr>
      <w:r w:rsidRPr="00CA6C19">
        <w:rPr>
          <w:rFonts w:ascii="Arial" w:hAnsi="Arial" w:cs="Arial"/>
          <w:sz w:val="20"/>
          <w:szCs w:val="20"/>
        </w:rPr>
        <w:t>Periodic Processes</w:t>
      </w:r>
    </w:p>
    <w:p w:rsidR="00FA7171" w:rsidRDefault="00FA7171" w:rsidP="00CA6C19">
      <w:pPr>
        <w:pStyle w:val="ListParagraph"/>
        <w:numPr>
          <w:ilvl w:val="0"/>
          <w:numId w:val="19"/>
        </w:numPr>
        <w:jc w:val="both"/>
        <w:rPr>
          <w:rFonts w:ascii="Arial" w:hAnsi="Arial" w:cs="Arial"/>
          <w:sz w:val="20"/>
          <w:szCs w:val="20"/>
        </w:rPr>
      </w:pPr>
      <w:r>
        <w:rPr>
          <w:rFonts w:ascii="Arial" w:hAnsi="Arial" w:cs="Arial"/>
          <w:sz w:val="20"/>
          <w:szCs w:val="20"/>
        </w:rPr>
        <w:t>Appendix 1: Current Posting Locations</w:t>
      </w:r>
    </w:p>
    <w:p w:rsidR="001A2F01" w:rsidRDefault="001A2F01" w:rsidP="006A3FDE">
      <w:pPr>
        <w:jc w:val="both"/>
        <w:rPr>
          <w:rFonts w:ascii="Arial" w:hAnsi="Arial" w:cs="Arial"/>
          <w:b/>
          <w:sz w:val="20"/>
          <w:szCs w:val="20"/>
          <w:u w:val="single"/>
        </w:rPr>
      </w:pPr>
      <w:r w:rsidRPr="001A2F01">
        <w:rPr>
          <w:rFonts w:ascii="Arial" w:hAnsi="Arial" w:cs="Arial"/>
          <w:b/>
          <w:sz w:val="20"/>
          <w:szCs w:val="20"/>
          <w:u w:val="single"/>
        </w:rPr>
        <w:t>Version Control</w:t>
      </w:r>
    </w:p>
    <w:tbl>
      <w:tblPr>
        <w:tblStyle w:val="TableGrid"/>
        <w:tblW w:w="0" w:type="auto"/>
        <w:tblLook w:val="04A0" w:firstRow="1" w:lastRow="0" w:firstColumn="1" w:lastColumn="0" w:noHBand="0" w:noVBand="1"/>
      </w:tblPr>
      <w:tblGrid>
        <w:gridCol w:w="1101"/>
        <w:gridCol w:w="1559"/>
        <w:gridCol w:w="6804"/>
        <w:gridCol w:w="1218"/>
      </w:tblGrid>
      <w:tr w:rsidR="001A2F01" w:rsidTr="002A7546">
        <w:tc>
          <w:tcPr>
            <w:tcW w:w="1101" w:type="dxa"/>
          </w:tcPr>
          <w:p w:rsidR="001A2F01" w:rsidRPr="001A2F01" w:rsidRDefault="001A2F01" w:rsidP="006A3FDE">
            <w:pPr>
              <w:jc w:val="both"/>
              <w:rPr>
                <w:rFonts w:ascii="Arial" w:hAnsi="Arial" w:cs="Arial"/>
                <w:sz w:val="20"/>
                <w:szCs w:val="20"/>
              </w:rPr>
            </w:pPr>
            <w:r w:rsidRPr="001A2F01">
              <w:rPr>
                <w:rFonts w:ascii="Arial" w:hAnsi="Arial" w:cs="Arial"/>
                <w:sz w:val="20"/>
                <w:szCs w:val="20"/>
              </w:rPr>
              <w:t>Version</w:t>
            </w:r>
          </w:p>
        </w:tc>
        <w:tc>
          <w:tcPr>
            <w:tcW w:w="1559" w:type="dxa"/>
          </w:tcPr>
          <w:p w:rsidR="001A2F01" w:rsidRPr="001A2F01" w:rsidRDefault="001A2F01" w:rsidP="006A3FDE">
            <w:pPr>
              <w:jc w:val="both"/>
              <w:rPr>
                <w:rFonts w:ascii="Arial" w:hAnsi="Arial" w:cs="Arial"/>
                <w:sz w:val="20"/>
                <w:szCs w:val="20"/>
              </w:rPr>
            </w:pPr>
            <w:r w:rsidRPr="001A2F01">
              <w:rPr>
                <w:rFonts w:ascii="Arial" w:hAnsi="Arial" w:cs="Arial"/>
                <w:sz w:val="20"/>
                <w:szCs w:val="20"/>
              </w:rPr>
              <w:t>Updated by</w:t>
            </w:r>
          </w:p>
        </w:tc>
        <w:tc>
          <w:tcPr>
            <w:tcW w:w="6804" w:type="dxa"/>
          </w:tcPr>
          <w:p w:rsidR="001A2F01" w:rsidRPr="001A2F01" w:rsidRDefault="001A2F01" w:rsidP="006A3FDE">
            <w:pPr>
              <w:jc w:val="both"/>
              <w:rPr>
                <w:rFonts w:ascii="Arial" w:hAnsi="Arial" w:cs="Arial"/>
                <w:sz w:val="20"/>
                <w:szCs w:val="20"/>
              </w:rPr>
            </w:pPr>
            <w:r w:rsidRPr="001A2F01">
              <w:rPr>
                <w:rFonts w:ascii="Arial" w:hAnsi="Arial" w:cs="Arial"/>
                <w:sz w:val="20"/>
                <w:szCs w:val="20"/>
              </w:rPr>
              <w:t>Key changes</w:t>
            </w:r>
          </w:p>
        </w:tc>
        <w:tc>
          <w:tcPr>
            <w:tcW w:w="1218" w:type="dxa"/>
          </w:tcPr>
          <w:p w:rsidR="001A2F01" w:rsidRPr="001A2F01" w:rsidRDefault="001A2F01" w:rsidP="006A3FDE">
            <w:pPr>
              <w:jc w:val="both"/>
              <w:rPr>
                <w:rFonts w:ascii="Arial" w:hAnsi="Arial" w:cs="Arial"/>
                <w:sz w:val="20"/>
                <w:szCs w:val="20"/>
              </w:rPr>
            </w:pPr>
            <w:r w:rsidRPr="001A2F01">
              <w:rPr>
                <w:rFonts w:ascii="Arial" w:hAnsi="Arial" w:cs="Arial"/>
                <w:sz w:val="20"/>
                <w:szCs w:val="20"/>
              </w:rPr>
              <w:t>Date</w:t>
            </w:r>
          </w:p>
        </w:tc>
      </w:tr>
      <w:tr w:rsidR="0086304E" w:rsidTr="002A7546">
        <w:tc>
          <w:tcPr>
            <w:tcW w:w="1101" w:type="dxa"/>
          </w:tcPr>
          <w:p w:rsidR="0086304E" w:rsidRPr="0086304E" w:rsidRDefault="0086304E" w:rsidP="006A3FDE">
            <w:pPr>
              <w:jc w:val="both"/>
              <w:rPr>
                <w:rFonts w:ascii="Arial" w:hAnsi="Arial" w:cs="Arial"/>
                <w:sz w:val="20"/>
                <w:szCs w:val="20"/>
              </w:rPr>
            </w:pPr>
            <w:r w:rsidRPr="0086304E">
              <w:rPr>
                <w:rFonts w:ascii="Arial" w:hAnsi="Arial" w:cs="Arial"/>
                <w:sz w:val="20"/>
                <w:szCs w:val="20"/>
              </w:rPr>
              <w:t>1.0</w:t>
            </w:r>
          </w:p>
        </w:tc>
        <w:tc>
          <w:tcPr>
            <w:tcW w:w="1559" w:type="dxa"/>
          </w:tcPr>
          <w:p w:rsidR="0086304E" w:rsidRPr="0086304E" w:rsidRDefault="0086304E" w:rsidP="006A3FDE">
            <w:pPr>
              <w:jc w:val="both"/>
              <w:rPr>
                <w:rFonts w:ascii="Arial" w:hAnsi="Arial" w:cs="Arial"/>
                <w:sz w:val="20"/>
                <w:szCs w:val="20"/>
              </w:rPr>
            </w:pPr>
            <w:r w:rsidRPr="0086304E">
              <w:rPr>
                <w:rFonts w:ascii="Arial" w:hAnsi="Arial" w:cs="Arial"/>
                <w:sz w:val="20"/>
                <w:szCs w:val="20"/>
              </w:rPr>
              <w:t>Simon Fullard</w:t>
            </w:r>
          </w:p>
        </w:tc>
        <w:tc>
          <w:tcPr>
            <w:tcW w:w="6804" w:type="dxa"/>
          </w:tcPr>
          <w:p w:rsidR="0086304E" w:rsidRPr="0086304E" w:rsidRDefault="0086304E" w:rsidP="0086304E">
            <w:pPr>
              <w:jc w:val="both"/>
              <w:rPr>
                <w:rFonts w:ascii="Arial" w:hAnsi="Arial" w:cs="Arial"/>
                <w:sz w:val="20"/>
                <w:szCs w:val="20"/>
              </w:rPr>
            </w:pPr>
            <w:r w:rsidRPr="0086304E">
              <w:rPr>
                <w:rFonts w:ascii="Arial" w:hAnsi="Arial" w:cs="Arial"/>
                <w:sz w:val="20"/>
                <w:szCs w:val="20"/>
              </w:rPr>
              <w:t>First Release Issued</w:t>
            </w:r>
          </w:p>
        </w:tc>
        <w:tc>
          <w:tcPr>
            <w:tcW w:w="1218" w:type="dxa"/>
          </w:tcPr>
          <w:p w:rsidR="0086304E" w:rsidRPr="0086304E" w:rsidRDefault="0086304E" w:rsidP="006A3FDE">
            <w:pPr>
              <w:jc w:val="both"/>
              <w:rPr>
                <w:rFonts w:ascii="Arial" w:hAnsi="Arial" w:cs="Arial"/>
                <w:sz w:val="20"/>
                <w:szCs w:val="20"/>
              </w:rPr>
            </w:pPr>
            <w:r w:rsidRPr="0086304E">
              <w:rPr>
                <w:rFonts w:ascii="Arial" w:hAnsi="Arial" w:cs="Arial"/>
                <w:sz w:val="20"/>
                <w:szCs w:val="20"/>
              </w:rPr>
              <w:t>29/3/16</w:t>
            </w:r>
          </w:p>
        </w:tc>
      </w:tr>
      <w:tr w:rsidR="0086304E" w:rsidTr="002A7546">
        <w:tc>
          <w:tcPr>
            <w:tcW w:w="1101" w:type="dxa"/>
          </w:tcPr>
          <w:p w:rsidR="0086304E" w:rsidRPr="0086304E" w:rsidRDefault="0086304E" w:rsidP="006A3FDE">
            <w:pPr>
              <w:jc w:val="both"/>
              <w:rPr>
                <w:rFonts w:ascii="Arial" w:hAnsi="Arial" w:cs="Arial"/>
                <w:b/>
                <w:sz w:val="20"/>
                <w:szCs w:val="20"/>
              </w:rPr>
            </w:pPr>
          </w:p>
        </w:tc>
        <w:tc>
          <w:tcPr>
            <w:tcW w:w="1559" w:type="dxa"/>
          </w:tcPr>
          <w:p w:rsidR="0086304E" w:rsidRPr="0086304E" w:rsidRDefault="0086304E" w:rsidP="006A3FDE">
            <w:pPr>
              <w:jc w:val="both"/>
              <w:rPr>
                <w:rFonts w:ascii="Arial" w:hAnsi="Arial" w:cs="Arial"/>
                <w:b/>
                <w:sz w:val="20"/>
                <w:szCs w:val="20"/>
              </w:rPr>
            </w:pPr>
            <w:r w:rsidRPr="0086304E">
              <w:rPr>
                <w:rFonts w:ascii="Arial" w:hAnsi="Arial" w:cs="Arial"/>
                <w:b/>
                <w:sz w:val="20"/>
                <w:szCs w:val="20"/>
              </w:rPr>
              <w:t>FRGC</w:t>
            </w:r>
          </w:p>
        </w:tc>
        <w:tc>
          <w:tcPr>
            <w:tcW w:w="6804" w:type="dxa"/>
          </w:tcPr>
          <w:p w:rsidR="0086304E" w:rsidRPr="0086304E" w:rsidRDefault="0086304E" w:rsidP="0086304E">
            <w:pPr>
              <w:jc w:val="both"/>
              <w:rPr>
                <w:rFonts w:ascii="Arial" w:hAnsi="Arial" w:cs="Arial"/>
                <w:b/>
                <w:sz w:val="20"/>
                <w:szCs w:val="20"/>
              </w:rPr>
            </w:pPr>
            <w:r>
              <w:rPr>
                <w:rFonts w:ascii="Arial" w:hAnsi="Arial" w:cs="Arial"/>
                <w:b/>
                <w:sz w:val="20"/>
                <w:szCs w:val="20"/>
              </w:rPr>
              <w:t>Principles a</w:t>
            </w:r>
            <w:r w:rsidRPr="0086304E">
              <w:rPr>
                <w:rFonts w:ascii="Arial" w:hAnsi="Arial" w:cs="Arial"/>
                <w:b/>
                <w:sz w:val="20"/>
                <w:szCs w:val="20"/>
              </w:rPr>
              <w:t>pproved at FRGC</w:t>
            </w:r>
          </w:p>
        </w:tc>
        <w:tc>
          <w:tcPr>
            <w:tcW w:w="1218" w:type="dxa"/>
          </w:tcPr>
          <w:p w:rsidR="0086304E" w:rsidRPr="0086304E" w:rsidRDefault="0086304E" w:rsidP="006A3FDE">
            <w:pPr>
              <w:jc w:val="both"/>
              <w:rPr>
                <w:rFonts w:ascii="Arial" w:hAnsi="Arial" w:cs="Arial"/>
                <w:b/>
                <w:sz w:val="20"/>
                <w:szCs w:val="20"/>
              </w:rPr>
            </w:pPr>
            <w:r w:rsidRPr="0086304E">
              <w:rPr>
                <w:rFonts w:ascii="Arial" w:hAnsi="Arial" w:cs="Arial"/>
                <w:b/>
                <w:sz w:val="20"/>
                <w:szCs w:val="20"/>
              </w:rPr>
              <w:t>21/3/16</w:t>
            </w:r>
          </w:p>
        </w:tc>
      </w:tr>
      <w:tr w:rsidR="00131DE3" w:rsidTr="002A7546">
        <w:tc>
          <w:tcPr>
            <w:tcW w:w="1101" w:type="dxa"/>
          </w:tcPr>
          <w:p w:rsidR="00131DE3" w:rsidRDefault="00814F50" w:rsidP="006A3FDE">
            <w:pPr>
              <w:jc w:val="both"/>
              <w:rPr>
                <w:rFonts w:ascii="Arial" w:hAnsi="Arial" w:cs="Arial"/>
                <w:sz w:val="20"/>
                <w:szCs w:val="20"/>
              </w:rPr>
            </w:pPr>
            <w:r>
              <w:rPr>
                <w:rFonts w:ascii="Arial" w:hAnsi="Arial" w:cs="Arial"/>
                <w:sz w:val="20"/>
                <w:szCs w:val="20"/>
              </w:rPr>
              <w:t>0.25</w:t>
            </w:r>
          </w:p>
        </w:tc>
        <w:tc>
          <w:tcPr>
            <w:tcW w:w="1559" w:type="dxa"/>
          </w:tcPr>
          <w:p w:rsidR="00131DE3" w:rsidRDefault="00814F50" w:rsidP="006A3FDE">
            <w:pPr>
              <w:jc w:val="both"/>
              <w:rPr>
                <w:rFonts w:ascii="Arial" w:hAnsi="Arial" w:cs="Arial"/>
                <w:sz w:val="20"/>
                <w:szCs w:val="20"/>
              </w:rPr>
            </w:pPr>
            <w:r>
              <w:rPr>
                <w:rFonts w:ascii="Arial" w:hAnsi="Arial" w:cs="Arial"/>
                <w:sz w:val="20"/>
                <w:szCs w:val="20"/>
              </w:rPr>
              <w:t>Natalie Stone</w:t>
            </w:r>
          </w:p>
        </w:tc>
        <w:tc>
          <w:tcPr>
            <w:tcW w:w="6804" w:type="dxa"/>
          </w:tcPr>
          <w:p w:rsidR="00131DE3" w:rsidRDefault="00814F50" w:rsidP="006A3FDE">
            <w:pPr>
              <w:jc w:val="both"/>
              <w:rPr>
                <w:rFonts w:ascii="Arial" w:hAnsi="Arial" w:cs="Arial"/>
                <w:sz w:val="20"/>
                <w:szCs w:val="20"/>
              </w:rPr>
            </w:pPr>
            <w:r>
              <w:rPr>
                <w:rFonts w:ascii="Arial" w:hAnsi="Arial" w:cs="Arial"/>
                <w:sz w:val="20"/>
                <w:szCs w:val="20"/>
              </w:rPr>
              <w:t>Reviewed &amp; update to periodic processes</w:t>
            </w:r>
          </w:p>
        </w:tc>
        <w:tc>
          <w:tcPr>
            <w:tcW w:w="1218" w:type="dxa"/>
          </w:tcPr>
          <w:p w:rsidR="00131DE3" w:rsidRDefault="00814F50" w:rsidP="006A3FDE">
            <w:pPr>
              <w:jc w:val="both"/>
              <w:rPr>
                <w:rFonts w:ascii="Arial" w:hAnsi="Arial" w:cs="Arial"/>
                <w:sz w:val="20"/>
                <w:szCs w:val="20"/>
              </w:rPr>
            </w:pPr>
            <w:r>
              <w:rPr>
                <w:rFonts w:ascii="Arial" w:hAnsi="Arial" w:cs="Arial"/>
                <w:sz w:val="20"/>
                <w:szCs w:val="20"/>
              </w:rPr>
              <w:t>18</w:t>
            </w:r>
            <w:r w:rsidR="00131DE3">
              <w:rPr>
                <w:rFonts w:ascii="Arial" w:hAnsi="Arial" w:cs="Arial"/>
                <w:sz w:val="20"/>
                <w:szCs w:val="20"/>
              </w:rPr>
              <w:t>/3/16</w:t>
            </w:r>
          </w:p>
        </w:tc>
      </w:tr>
      <w:tr w:rsidR="00814F50" w:rsidTr="002A7546">
        <w:tc>
          <w:tcPr>
            <w:tcW w:w="1101" w:type="dxa"/>
          </w:tcPr>
          <w:p w:rsidR="00814F50" w:rsidRDefault="00814F50" w:rsidP="00E90BE7">
            <w:pPr>
              <w:jc w:val="both"/>
              <w:rPr>
                <w:rFonts w:ascii="Arial" w:hAnsi="Arial" w:cs="Arial"/>
                <w:sz w:val="20"/>
                <w:szCs w:val="20"/>
              </w:rPr>
            </w:pPr>
            <w:r>
              <w:rPr>
                <w:rFonts w:ascii="Arial" w:hAnsi="Arial" w:cs="Arial"/>
                <w:sz w:val="20"/>
                <w:szCs w:val="20"/>
              </w:rPr>
              <w:t>0.20</w:t>
            </w:r>
          </w:p>
        </w:tc>
        <w:tc>
          <w:tcPr>
            <w:tcW w:w="1559" w:type="dxa"/>
          </w:tcPr>
          <w:p w:rsidR="00814F50" w:rsidRDefault="00814F50" w:rsidP="00E90BE7">
            <w:pPr>
              <w:jc w:val="both"/>
              <w:rPr>
                <w:rFonts w:ascii="Arial" w:hAnsi="Arial" w:cs="Arial"/>
                <w:sz w:val="20"/>
                <w:szCs w:val="20"/>
              </w:rPr>
            </w:pPr>
            <w:r>
              <w:rPr>
                <w:rFonts w:ascii="Arial" w:hAnsi="Arial" w:cs="Arial"/>
                <w:sz w:val="20"/>
                <w:szCs w:val="20"/>
              </w:rPr>
              <w:t>Simon Fullard</w:t>
            </w:r>
          </w:p>
        </w:tc>
        <w:tc>
          <w:tcPr>
            <w:tcW w:w="6804" w:type="dxa"/>
          </w:tcPr>
          <w:p w:rsidR="00814F50" w:rsidRDefault="00814F50" w:rsidP="00E90BE7">
            <w:pPr>
              <w:jc w:val="both"/>
              <w:rPr>
                <w:rFonts w:ascii="Arial" w:hAnsi="Arial" w:cs="Arial"/>
                <w:sz w:val="20"/>
                <w:szCs w:val="20"/>
              </w:rPr>
            </w:pPr>
            <w:r>
              <w:rPr>
                <w:rFonts w:ascii="Arial" w:hAnsi="Arial" w:cs="Arial"/>
                <w:sz w:val="20"/>
                <w:szCs w:val="20"/>
              </w:rPr>
              <w:t>Reviewed by STE Finance; taken in comments by Adrian Golumbina</w:t>
            </w:r>
          </w:p>
        </w:tc>
        <w:tc>
          <w:tcPr>
            <w:tcW w:w="1218" w:type="dxa"/>
          </w:tcPr>
          <w:p w:rsidR="00814F50" w:rsidRDefault="00814F50" w:rsidP="00E90BE7">
            <w:pPr>
              <w:jc w:val="both"/>
              <w:rPr>
                <w:rFonts w:ascii="Arial" w:hAnsi="Arial" w:cs="Arial"/>
                <w:sz w:val="20"/>
                <w:szCs w:val="20"/>
              </w:rPr>
            </w:pPr>
            <w:r>
              <w:rPr>
                <w:rFonts w:ascii="Arial" w:hAnsi="Arial" w:cs="Arial"/>
                <w:sz w:val="20"/>
                <w:szCs w:val="20"/>
              </w:rPr>
              <w:t>16/3/16</w:t>
            </w:r>
          </w:p>
        </w:tc>
      </w:tr>
      <w:tr w:rsidR="00814F50" w:rsidTr="002A7546">
        <w:tc>
          <w:tcPr>
            <w:tcW w:w="1101" w:type="dxa"/>
          </w:tcPr>
          <w:p w:rsidR="00814F50" w:rsidRDefault="00814F50" w:rsidP="00E90BE7">
            <w:pPr>
              <w:jc w:val="both"/>
              <w:rPr>
                <w:rFonts w:ascii="Arial" w:hAnsi="Arial" w:cs="Arial"/>
                <w:sz w:val="20"/>
                <w:szCs w:val="20"/>
              </w:rPr>
            </w:pPr>
            <w:r>
              <w:rPr>
                <w:rFonts w:ascii="Arial" w:hAnsi="Arial" w:cs="Arial"/>
                <w:sz w:val="20"/>
                <w:szCs w:val="20"/>
              </w:rPr>
              <w:t>0.10</w:t>
            </w:r>
          </w:p>
        </w:tc>
        <w:tc>
          <w:tcPr>
            <w:tcW w:w="1559" w:type="dxa"/>
          </w:tcPr>
          <w:p w:rsidR="00814F50" w:rsidRDefault="00814F50" w:rsidP="00E90BE7">
            <w:pPr>
              <w:jc w:val="both"/>
              <w:rPr>
                <w:rFonts w:ascii="Arial" w:hAnsi="Arial" w:cs="Arial"/>
                <w:sz w:val="20"/>
                <w:szCs w:val="20"/>
              </w:rPr>
            </w:pPr>
            <w:r>
              <w:rPr>
                <w:rFonts w:ascii="Arial" w:hAnsi="Arial" w:cs="Arial"/>
                <w:sz w:val="20"/>
                <w:szCs w:val="20"/>
              </w:rPr>
              <w:t>Simon Fullard</w:t>
            </w:r>
          </w:p>
        </w:tc>
        <w:tc>
          <w:tcPr>
            <w:tcW w:w="6804" w:type="dxa"/>
          </w:tcPr>
          <w:p w:rsidR="00814F50" w:rsidRDefault="00814F50" w:rsidP="00E90BE7">
            <w:pPr>
              <w:jc w:val="both"/>
              <w:rPr>
                <w:rFonts w:ascii="Arial" w:hAnsi="Arial" w:cs="Arial"/>
                <w:sz w:val="20"/>
                <w:szCs w:val="20"/>
              </w:rPr>
            </w:pPr>
            <w:r>
              <w:rPr>
                <w:rFonts w:ascii="Arial" w:hAnsi="Arial" w:cs="Arial"/>
                <w:sz w:val="20"/>
                <w:szCs w:val="20"/>
              </w:rPr>
              <w:t>Numbers included</w:t>
            </w:r>
          </w:p>
        </w:tc>
        <w:tc>
          <w:tcPr>
            <w:tcW w:w="1218" w:type="dxa"/>
          </w:tcPr>
          <w:p w:rsidR="00814F50" w:rsidRDefault="00814F50" w:rsidP="00E90BE7">
            <w:pPr>
              <w:jc w:val="both"/>
              <w:rPr>
                <w:rFonts w:ascii="Arial" w:hAnsi="Arial" w:cs="Arial"/>
                <w:sz w:val="20"/>
                <w:szCs w:val="20"/>
              </w:rPr>
            </w:pPr>
            <w:r>
              <w:rPr>
                <w:rFonts w:ascii="Arial" w:hAnsi="Arial" w:cs="Arial"/>
                <w:sz w:val="20"/>
                <w:szCs w:val="20"/>
              </w:rPr>
              <w:t>14/3/16</w:t>
            </w:r>
          </w:p>
        </w:tc>
      </w:tr>
      <w:tr w:rsidR="00814F50" w:rsidTr="002A7546">
        <w:tc>
          <w:tcPr>
            <w:tcW w:w="1101" w:type="dxa"/>
          </w:tcPr>
          <w:p w:rsidR="00814F50" w:rsidRDefault="00814F50" w:rsidP="00E90BE7">
            <w:pPr>
              <w:jc w:val="both"/>
              <w:rPr>
                <w:rFonts w:ascii="Arial" w:hAnsi="Arial" w:cs="Arial"/>
                <w:sz w:val="20"/>
                <w:szCs w:val="20"/>
              </w:rPr>
            </w:pPr>
            <w:r>
              <w:rPr>
                <w:rFonts w:ascii="Arial" w:hAnsi="Arial" w:cs="Arial"/>
                <w:sz w:val="20"/>
                <w:szCs w:val="20"/>
              </w:rPr>
              <w:t>0.05</w:t>
            </w:r>
          </w:p>
        </w:tc>
        <w:tc>
          <w:tcPr>
            <w:tcW w:w="1559" w:type="dxa"/>
          </w:tcPr>
          <w:p w:rsidR="00814F50" w:rsidRDefault="00814F50" w:rsidP="00E90BE7">
            <w:pPr>
              <w:jc w:val="both"/>
              <w:rPr>
                <w:rFonts w:ascii="Arial" w:hAnsi="Arial" w:cs="Arial"/>
                <w:sz w:val="20"/>
                <w:szCs w:val="20"/>
              </w:rPr>
            </w:pPr>
            <w:r>
              <w:rPr>
                <w:rFonts w:ascii="Arial" w:hAnsi="Arial" w:cs="Arial"/>
                <w:sz w:val="20"/>
                <w:szCs w:val="20"/>
              </w:rPr>
              <w:t>Simon Fullard</w:t>
            </w:r>
          </w:p>
        </w:tc>
        <w:tc>
          <w:tcPr>
            <w:tcW w:w="6804" w:type="dxa"/>
          </w:tcPr>
          <w:p w:rsidR="00814F50" w:rsidRDefault="00814F50" w:rsidP="00E90BE7">
            <w:pPr>
              <w:jc w:val="both"/>
              <w:rPr>
                <w:rFonts w:ascii="Arial" w:hAnsi="Arial" w:cs="Arial"/>
                <w:sz w:val="20"/>
                <w:szCs w:val="20"/>
              </w:rPr>
            </w:pPr>
            <w:r>
              <w:rPr>
                <w:rFonts w:ascii="Arial" w:hAnsi="Arial" w:cs="Arial"/>
                <w:sz w:val="20"/>
                <w:szCs w:val="20"/>
              </w:rPr>
              <w:t>Reviewed by Energy Management, process notes first inserted</w:t>
            </w:r>
          </w:p>
        </w:tc>
        <w:tc>
          <w:tcPr>
            <w:tcW w:w="1218" w:type="dxa"/>
          </w:tcPr>
          <w:p w:rsidR="00814F50" w:rsidRDefault="00814F50" w:rsidP="00E90BE7">
            <w:pPr>
              <w:jc w:val="both"/>
              <w:rPr>
                <w:rFonts w:ascii="Arial" w:hAnsi="Arial" w:cs="Arial"/>
                <w:sz w:val="20"/>
                <w:szCs w:val="20"/>
              </w:rPr>
            </w:pPr>
            <w:r>
              <w:rPr>
                <w:rFonts w:ascii="Arial" w:hAnsi="Arial" w:cs="Arial"/>
                <w:sz w:val="20"/>
                <w:szCs w:val="20"/>
              </w:rPr>
              <w:t>13/3/16</w:t>
            </w:r>
          </w:p>
        </w:tc>
      </w:tr>
      <w:tr w:rsidR="00814F50" w:rsidTr="002A7546">
        <w:tc>
          <w:tcPr>
            <w:tcW w:w="1101" w:type="dxa"/>
          </w:tcPr>
          <w:p w:rsidR="00814F50" w:rsidRPr="001A2F01" w:rsidRDefault="00814F50" w:rsidP="00E90BE7">
            <w:pPr>
              <w:jc w:val="both"/>
              <w:rPr>
                <w:rFonts w:ascii="Arial" w:hAnsi="Arial" w:cs="Arial"/>
                <w:sz w:val="20"/>
                <w:szCs w:val="20"/>
              </w:rPr>
            </w:pPr>
            <w:r>
              <w:rPr>
                <w:rFonts w:ascii="Arial" w:hAnsi="Arial" w:cs="Arial"/>
                <w:sz w:val="20"/>
                <w:szCs w:val="20"/>
              </w:rPr>
              <w:t>0.01</w:t>
            </w:r>
          </w:p>
        </w:tc>
        <w:tc>
          <w:tcPr>
            <w:tcW w:w="1559" w:type="dxa"/>
          </w:tcPr>
          <w:p w:rsidR="00814F50" w:rsidRPr="001A2F01" w:rsidRDefault="00814F50" w:rsidP="00E90BE7">
            <w:pPr>
              <w:jc w:val="both"/>
              <w:rPr>
                <w:rFonts w:ascii="Arial" w:hAnsi="Arial" w:cs="Arial"/>
                <w:sz w:val="20"/>
                <w:szCs w:val="20"/>
              </w:rPr>
            </w:pPr>
            <w:r>
              <w:rPr>
                <w:rFonts w:ascii="Arial" w:hAnsi="Arial" w:cs="Arial"/>
                <w:sz w:val="20"/>
                <w:szCs w:val="20"/>
              </w:rPr>
              <w:t>Simon Fullard</w:t>
            </w:r>
          </w:p>
        </w:tc>
        <w:tc>
          <w:tcPr>
            <w:tcW w:w="6804" w:type="dxa"/>
          </w:tcPr>
          <w:p w:rsidR="00814F50" w:rsidRPr="001A2F01" w:rsidRDefault="00814F50" w:rsidP="00E90BE7">
            <w:pPr>
              <w:jc w:val="both"/>
              <w:rPr>
                <w:rFonts w:ascii="Arial" w:hAnsi="Arial" w:cs="Arial"/>
                <w:sz w:val="20"/>
                <w:szCs w:val="20"/>
              </w:rPr>
            </w:pPr>
            <w:r>
              <w:rPr>
                <w:rFonts w:ascii="Arial" w:hAnsi="Arial" w:cs="Arial"/>
                <w:sz w:val="20"/>
                <w:szCs w:val="20"/>
              </w:rPr>
              <w:t>New document</w:t>
            </w:r>
          </w:p>
        </w:tc>
        <w:tc>
          <w:tcPr>
            <w:tcW w:w="1218" w:type="dxa"/>
          </w:tcPr>
          <w:p w:rsidR="00814F50" w:rsidRPr="001A2F01" w:rsidRDefault="00814F50" w:rsidP="00E90BE7">
            <w:pPr>
              <w:jc w:val="both"/>
              <w:rPr>
                <w:rFonts w:ascii="Arial" w:hAnsi="Arial" w:cs="Arial"/>
                <w:sz w:val="20"/>
                <w:szCs w:val="20"/>
              </w:rPr>
            </w:pPr>
            <w:r>
              <w:rPr>
                <w:rFonts w:ascii="Arial" w:hAnsi="Arial" w:cs="Arial"/>
                <w:sz w:val="20"/>
                <w:szCs w:val="20"/>
              </w:rPr>
              <w:t>3/3/16</w:t>
            </w:r>
          </w:p>
        </w:tc>
      </w:tr>
      <w:tr w:rsidR="00814F50" w:rsidTr="002A7546">
        <w:tc>
          <w:tcPr>
            <w:tcW w:w="1101" w:type="dxa"/>
          </w:tcPr>
          <w:p w:rsidR="00814F50" w:rsidRPr="001A2F01" w:rsidRDefault="00814F50" w:rsidP="006A3FDE">
            <w:pPr>
              <w:jc w:val="both"/>
              <w:rPr>
                <w:rFonts w:ascii="Arial" w:hAnsi="Arial" w:cs="Arial"/>
                <w:sz w:val="20"/>
                <w:szCs w:val="20"/>
              </w:rPr>
            </w:pPr>
          </w:p>
        </w:tc>
        <w:tc>
          <w:tcPr>
            <w:tcW w:w="1559" w:type="dxa"/>
          </w:tcPr>
          <w:p w:rsidR="00814F50" w:rsidRPr="001A2F01" w:rsidRDefault="00814F50" w:rsidP="006A3FDE">
            <w:pPr>
              <w:jc w:val="both"/>
              <w:rPr>
                <w:rFonts w:ascii="Arial" w:hAnsi="Arial" w:cs="Arial"/>
                <w:sz w:val="20"/>
                <w:szCs w:val="20"/>
              </w:rPr>
            </w:pPr>
          </w:p>
        </w:tc>
        <w:tc>
          <w:tcPr>
            <w:tcW w:w="6804" w:type="dxa"/>
          </w:tcPr>
          <w:p w:rsidR="00814F50" w:rsidRPr="001A2F01" w:rsidRDefault="00814F50" w:rsidP="006A3FDE">
            <w:pPr>
              <w:jc w:val="both"/>
              <w:rPr>
                <w:rFonts w:ascii="Arial" w:hAnsi="Arial" w:cs="Arial"/>
                <w:sz w:val="20"/>
                <w:szCs w:val="20"/>
              </w:rPr>
            </w:pPr>
          </w:p>
        </w:tc>
        <w:tc>
          <w:tcPr>
            <w:tcW w:w="1218" w:type="dxa"/>
          </w:tcPr>
          <w:p w:rsidR="00814F50" w:rsidRPr="001A2F01" w:rsidRDefault="00814F50" w:rsidP="006A3FDE">
            <w:pPr>
              <w:jc w:val="both"/>
              <w:rPr>
                <w:rFonts w:ascii="Arial" w:hAnsi="Arial" w:cs="Arial"/>
                <w:sz w:val="20"/>
                <w:szCs w:val="20"/>
              </w:rPr>
            </w:pPr>
          </w:p>
        </w:tc>
      </w:tr>
    </w:tbl>
    <w:p w:rsidR="001A2F01" w:rsidRPr="001A2F01" w:rsidRDefault="001A2F01" w:rsidP="006A3FDE">
      <w:pPr>
        <w:jc w:val="both"/>
        <w:rPr>
          <w:rFonts w:ascii="Arial" w:hAnsi="Arial" w:cs="Arial"/>
          <w:b/>
          <w:sz w:val="20"/>
          <w:szCs w:val="20"/>
          <w:u w:val="single"/>
        </w:rPr>
      </w:pPr>
    </w:p>
    <w:p w:rsidR="0026478E" w:rsidRPr="001A2F01" w:rsidRDefault="0026478E" w:rsidP="0026478E">
      <w:pPr>
        <w:jc w:val="both"/>
        <w:rPr>
          <w:rFonts w:ascii="Arial" w:hAnsi="Arial" w:cs="Arial"/>
          <w:b/>
          <w:sz w:val="20"/>
          <w:szCs w:val="20"/>
          <w:u w:val="single"/>
        </w:rPr>
      </w:pPr>
      <w:r w:rsidRPr="001A2F01">
        <w:rPr>
          <w:rFonts w:ascii="Arial" w:hAnsi="Arial" w:cs="Arial"/>
          <w:b/>
          <w:sz w:val="20"/>
          <w:szCs w:val="20"/>
          <w:u w:val="single"/>
        </w:rPr>
        <w:t>Background</w:t>
      </w:r>
    </w:p>
    <w:p w:rsidR="00906B57" w:rsidRPr="00906B57" w:rsidRDefault="00906B57" w:rsidP="00906B57">
      <w:pPr>
        <w:jc w:val="both"/>
        <w:rPr>
          <w:rFonts w:ascii="Arial" w:hAnsi="Arial" w:cs="Arial"/>
          <w:sz w:val="20"/>
          <w:szCs w:val="20"/>
        </w:rPr>
      </w:pPr>
      <w:r w:rsidRPr="00906B57">
        <w:rPr>
          <w:rFonts w:ascii="Arial" w:hAnsi="Arial" w:cs="Arial"/>
          <w:sz w:val="20"/>
          <w:szCs w:val="20"/>
        </w:rPr>
        <w:t xml:space="preserve">In the Delivery Plan for CP5, Network Rail made a commitment to the ORR that our carbon footprint would be reduced by 11.19% by the end of CP5. </w:t>
      </w:r>
    </w:p>
    <w:p w:rsidR="00165984" w:rsidRDefault="00906B57" w:rsidP="00906B57">
      <w:pPr>
        <w:jc w:val="both"/>
        <w:rPr>
          <w:rFonts w:ascii="Arial" w:hAnsi="Arial" w:cs="Arial"/>
          <w:sz w:val="20"/>
          <w:szCs w:val="20"/>
        </w:rPr>
      </w:pPr>
      <w:r w:rsidRPr="00906B57">
        <w:rPr>
          <w:rFonts w:ascii="Arial" w:hAnsi="Arial" w:cs="Arial"/>
          <w:sz w:val="20"/>
          <w:szCs w:val="20"/>
        </w:rPr>
        <w:t xml:space="preserve">To put this into perspective, in Year 5 CP4, Network rail used 440 </w:t>
      </w:r>
      <w:proofErr w:type="spellStart"/>
      <w:r w:rsidRPr="00906B57">
        <w:rPr>
          <w:rFonts w:ascii="Arial" w:hAnsi="Arial" w:cs="Arial"/>
          <w:sz w:val="20"/>
          <w:szCs w:val="20"/>
        </w:rPr>
        <w:t>GWh</w:t>
      </w:r>
      <w:proofErr w:type="spellEnd"/>
      <w:r w:rsidRPr="00906B57">
        <w:rPr>
          <w:rFonts w:ascii="Arial" w:hAnsi="Arial" w:cs="Arial"/>
          <w:sz w:val="20"/>
          <w:szCs w:val="20"/>
        </w:rPr>
        <w:t xml:space="preserve"> of </w:t>
      </w:r>
      <w:r w:rsidR="002669DD">
        <w:rPr>
          <w:rFonts w:ascii="Arial" w:hAnsi="Arial" w:cs="Arial"/>
          <w:sz w:val="20"/>
          <w:szCs w:val="20"/>
        </w:rPr>
        <w:t xml:space="preserve">non-traction </w:t>
      </w:r>
      <w:r w:rsidRPr="00906B57">
        <w:rPr>
          <w:rFonts w:ascii="Arial" w:hAnsi="Arial" w:cs="Arial"/>
          <w:sz w:val="20"/>
          <w:szCs w:val="20"/>
        </w:rPr>
        <w:t>Electricity within the Utilities arena and therefore it was agreed that in Year 5 CP5 our Elect</w:t>
      </w:r>
      <w:r>
        <w:rPr>
          <w:rFonts w:ascii="Arial" w:hAnsi="Arial" w:cs="Arial"/>
          <w:sz w:val="20"/>
          <w:szCs w:val="20"/>
        </w:rPr>
        <w:t xml:space="preserve">ricity usage would be 390 </w:t>
      </w:r>
      <w:proofErr w:type="spellStart"/>
      <w:r>
        <w:rPr>
          <w:rFonts w:ascii="Arial" w:hAnsi="Arial" w:cs="Arial"/>
          <w:sz w:val="20"/>
          <w:szCs w:val="20"/>
        </w:rPr>
        <w:t>GWh</w:t>
      </w:r>
      <w:proofErr w:type="spellEnd"/>
      <w:r>
        <w:rPr>
          <w:rFonts w:ascii="Arial" w:hAnsi="Arial" w:cs="Arial"/>
          <w:sz w:val="20"/>
          <w:szCs w:val="20"/>
        </w:rPr>
        <w:t xml:space="preserve">. </w:t>
      </w:r>
      <w:r w:rsidRPr="00906B57">
        <w:rPr>
          <w:rFonts w:ascii="Arial" w:hAnsi="Arial" w:cs="Arial"/>
          <w:sz w:val="20"/>
          <w:szCs w:val="20"/>
        </w:rPr>
        <w:t xml:space="preserve">In parallel with this our funding amount has also reduced, so it is imperative that we reduce Electricity (and Gas) </w:t>
      </w:r>
      <w:r w:rsidR="00131DE3">
        <w:rPr>
          <w:rFonts w:ascii="Arial" w:hAnsi="Arial" w:cs="Arial"/>
          <w:sz w:val="20"/>
          <w:szCs w:val="20"/>
        </w:rPr>
        <w:t xml:space="preserve">consumption on a national level – and this reduction (without any increase in income) </w:t>
      </w:r>
      <w:r w:rsidR="00131DE3" w:rsidRPr="00165984">
        <w:rPr>
          <w:rFonts w:ascii="Arial" w:hAnsi="Arial" w:cs="Arial"/>
          <w:sz w:val="20"/>
          <w:szCs w:val="20"/>
        </w:rPr>
        <w:t>requires</w:t>
      </w:r>
      <w:r w:rsidR="00165984">
        <w:rPr>
          <w:rFonts w:ascii="Arial" w:hAnsi="Arial" w:cs="Arial"/>
          <w:sz w:val="20"/>
          <w:szCs w:val="20"/>
        </w:rPr>
        <w:t xml:space="preserve"> </w:t>
      </w:r>
      <w:r w:rsidR="00D81974" w:rsidRPr="00165984">
        <w:rPr>
          <w:rFonts w:ascii="Arial" w:hAnsi="Arial" w:cs="Arial"/>
          <w:sz w:val="20"/>
          <w:szCs w:val="20"/>
        </w:rPr>
        <w:t>17.1</w:t>
      </w:r>
      <w:r w:rsidR="00131DE3" w:rsidRPr="00165984">
        <w:rPr>
          <w:rFonts w:ascii="Arial" w:hAnsi="Arial" w:cs="Arial"/>
          <w:sz w:val="20"/>
          <w:szCs w:val="20"/>
        </w:rPr>
        <w:t>% efficiency</w:t>
      </w:r>
      <w:r w:rsidR="00165984">
        <w:rPr>
          <w:rFonts w:ascii="Arial" w:hAnsi="Arial" w:cs="Arial"/>
          <w:sz w:val="20"/>
          <w:szCs w:val="20"/>
        </w:rPr>
        <w:t>, assuming we run all our efficiencies through consumption.</w:t>
      </w:r>
    </w:p>
    <w:p w:rsidR="00343462" w:rsidRDefault="00906B57" w:rsidP="00906B57">
      <w:pPr>
        <w:jc w:val="both"/>
        <w:rPr>
          <w:rFonts w:ascii="Arial" w:hAnsi="Arial" w:cs="Arial"/>
          <w:sz w:val="20"/>
          <w:szCs w:val="20"/>
        </w:rPr>
      </w:pPr>
      <w:r w:rsidRPr="00906B57">
        <w:rPr>
          <w:rFonts w:ascii="Arial" w:hAnsi="Arial" w:cs="Arial"/>
          <w:sz w:val="20"/>
          <w:szCs w:val="20"/>
        </w:rPr>
        <w:t>2015/16 saw the implementation of the first phase of budget devolution to the Routes.  The effect was to transfer 75% of energy volumes to the Routes while the Centre retained the more complex retail and third party obligations with the aim of simplifying these so that they too could be transferred to the Routes at a later stage.</w:t>
      </w:r>
    </w:p>
    <w:p w:rsidR="00906B57" w:rsidRDefault="00906B57" w:rsidP="00906B57">
      <w:pPr>
        <w:jc w:val="both"/>
        <w:rPr>
          <w:rFonts w:ascii="Arial" w:hAnsi="Arial" w:cs="Arial"/>
          <w:sz w:val="20"/>
          <w:szCs w:val="20"/>
        </w:rPr>
      </w:pPr>
      <w:r w:rsidRPr="00906B57">
        <w:rPr>
          <w:rFonts w:ascii="Arial" w:hAnsi="Arial" w:cs="Arial"/>
          <w:sz w:val="20"/>
          <w:szCs w:val="20"/>
        </w:rPr>
        <w:t>For real benefit and transparency it was decided to devolve Utility budgets in Year 2 of CP5 to enable routes to make decisions at a local level to assist in this carbon reduction. The Energy Management team have been running route workshops throughout the year, where a deep dive on usage at a meter level is conducted, and it is recognised that savi</w:t>
      </w:r>
      <w:r>
        <w:rPr>
          <w:rFonts w:ascii="Arial" w:hAnsi="Arial" w:cs="Arial"/>
          <w:sz w:val="20"/>
          <w:szCs w:val="20"/>
        </w:rPr>
        <w:t xml:space="preserve">ngs of up to </w:t>
      </w:r>
      <w:r w:rsidR="001C00F6">
        <w:rPr>
          <w:rFonts w:ascii="Arial" w:hAnsi="Arial" w:cs="Arial"/>
          <w:sz w:val="20"/>
          <w:szCs w:val="20"/>
        </w:rPr>
        <w:t>24</w:t>
      </w:r>
      <w:r>
        <w:rPr>
          <w:rFonts w:ascii="Arial" w:hAnsi="Arial" w:cs="Arial"/>
          <w:sz w:val="20"/>
          <w:szCs w:val="20"/>
        </w:rPr>
        <w:t xml:space="preserve">% could be made. </w:t>
      </w:r>
      <w:r w:rsidRPr="00906B57">
        <w:rPr>
          <w:rFonts w:ascii="Arial" w:hAnsi="Arial" w:cs="Arial"/>
          <w:sz w:val="20"/>
          <w:szCs w:val="20"/>
        </w:rPr>
        <w:t xml:space="preserve">The forward contracts on prices have locked in </w:t>
      </w:r>
      <w:r>
        <w:rPr>
          <w:rFonts w:ascii="Arial" w:hAnsi="Arial" w:cs="Arial"/>
          <w:sz w:val="20"/>
          <w:szCs w:val="20"/>
        </w:rPr>
        <w:t xml:space="preserve">approx. </w:t>
      </w:r>
      <w:r w:rsidRPr="00906B57">
        <w:rPr>
          <w:rFonts w:ascii="Arial" w:hAnsi="Arial" w:cs="Arial"/>
          <w:sz w:val="20"/>
          <w:szCs w:val="20"/>
        </w:rPr>
        <w:t xml:space="preserve">£20m of savings in the </w:t>
      </w:r>
      <w:r w:rsidRPr="00906B57">
        <w:rPr>
          <w:rFonts w:ascii="Arial" w:hAnsi="Arial" w:cs="Arial"/>
          <w:sz w:val="20"/>
          <w:szCs w:val="20"/>
        </w:rPr>
        <w:lastRenderedPageBreak/>
        <w:t>control period, and we have made greater strides to bill third parties for consumption, reducing the overall burden on Network Rail. However, there still lies a big opportunity to recover more.</w:t>
      </w:r>
    </w:p>
    <w:p w:rsidR="00906B57" w:rsidRPr="00906B57" w:rsidRDefault="00906B57" w:rsidP="00906B57">
      <w:pPr>
        <w:jc w:val="both"/>
        <w:rPr>
          <w:rFonts w:ascii="Arial" w:hAnsi="Arial" w:cs="Arial"/>
          <w:sz w:val="20"/>
          <w:szCs w:val="20"/>
        </w:rPr>
      </w:pPr>
      <w:r w:rsidRPr="00906B57">
        <w:rPr>
          <w:rFonts w:ascii="Arial" w:hAnsi="Arial" w:cs="Arial"/>
          <w:sz w:val="20"/>
          <w:szCs w:val="20"/>
        </w:rPr>
        <w:t xml:space="preserve">For 2015/16 we used actuals relating to the base year, 2013/14 (CP4 </w:t>
      </w:r>
      <w:proofErr w:type="spellStart"/>
      <w:r w:rsidRPr="00906B57">
        <w:rPr>
          <w:rFonts w:ascii="Arial" w:hAnsi="Arial" w:cs="Arial"/>
          <w:sz w:val="20"/>
          <w:szCs w:val="20"/>
        </w:rPr>
        <w:t>Yr</w:t>
      </w:r>
      <w:proofErr w:type="spellEnd"/>
      <w:r w:rsidRPr="00906B57">
        <w:rPr>
          <w:rFonts w:ascii="Arial" w:hAnsi="Arial" w:cs="Arial"/>
          <w:sz w:val="20"/>
          <w:szCs w:val="20"/>
        </w:rPr>
        <w:t xml:space="preserve"> 5), to apportion the available cost budget over 8,000 meters and then rolled this up into Delivery Units and Managed Stations at each route. This did not take into account any out-of-year activity via invoicing of those meters still required </w:t>
      </w:r>
      <w:r w:rsidR="00B3772C">
        <w:rPr>
          <w:rFonts w:ascii="Arial" w:hAnsi="Arial" w:cs="Arial"/>
          <w:sz w:val="20"/>
          <w:szCs w:val="20"/>
        </w:rPr>
        <w:t xml:space="preserve">for </w:t>
      </w:r>
      <w:r w:rsidRPr="00906B57">
        <w:rPr>
          <w:rFonts w:ascii="Arial" w:hAnsi="Arial" w:cs="Arial"/>
          <w:sz w:val="20"/>
          <w:szCs w:val="20"/>
        </w:rPr>
        <w:t xml:space="preserve">manual meter reads. </w:t>
      </w:r>
    </w:p>
    <w:p w:rsidR="00906B57" w:rsidRPr="00906B57" w:rsidRDefault="00906B57" w:rsidP="00906B57">
      <w:pPr>
        <w:jc w:val="both"/>
        <w:rPr>
          <w:rFonts w:ascii="Arial" w:hAnsi="Arial" w:cs="Arial"/>
          <w:sz w:val="20"/>
          <w:szCs w:val="20"/>
        </w:rPr>
      </w:pPr>
      <w:r w:rsidRPr="00906B57">
        <w:rPr>
          <w:rFonts w:ascii="Arial" w:hAnsi="Arial" w:cs="Arial"/>
          <w:sz w:val="20"/>
          <w:szCs w:val="20"/>
        </w:rPr>
        <w:t>This year to get an even more accurate reflection of usage we are looking at the last 34 periods of Utility usage over the 8000 meters to re model any baseline assumption</w:t>
      </w:r>
      <w:r w:rsidR="00B90CDD">
        <w:rPr>
          <w:rFonts w:ascii="Arial" w:hAnsi="Arial" w:cs="Arial"/>
          <w:sz w:val="20"/>
          <w:szCs w:val="20"/>
        </w:rPr>
        <w:t>s</w:t>
      </w:r>
      <w:r w:rsidRPr="00906B57">
        <w:rPr>
          <w:rFonts w:ascii="Arial" w:hAnsi="Arial" w:cs="Arial"/>
          <w:sz w:val="20"/>
          <w:szCs w:val="20"/>
        </w:rPr>
        <w:t xml:space="preserve"> that were made. We also have a greater proportion of meters on automatic meter reads (AMR) therefore giving much more accurate data – even to half hourly consumption.</w:t>
      </w:r>
    </w:p>
    <w:p w:rsidR="00906B57" w:rsidRDefault="00906B57" w:rsidP="00906B57">
      <w:pPr>
        <w:jc w:val="both"/>
        <w:rPr>
          <w:rFonts w:ascii="Arial" w:hAnsi="Arial" w:cs="Arial"/>
          <w:sz w:val="20"/>
          <w:szCs w:val="20"/>
        </w:rPr>
      </w:pPr>
      <w:r w:rsidRPr="00906B57">
        <w:rPr>
          <w:rFonts w:ascii="Arial" w:hAnsi="Arial" w:cs="Arial"/>
          <w:sz w:val="20"/>
          <w:szCs w:val="20"/>
        </w:rPr>
        <w:t xml:space="preserve">We are looking at all interfaces to Projects and Property to ensure all </w:t>
      </w:r>
      <w:proofErr w:type="gramStart"/>
      <w:r w:rsidRPr="00906B57">
        <w:rPr>
          <w:rFonts w:ascii="Arial" w:hAnsi="Arial" w:cs="Arial"/>
          <w:sz w:val="20"/>
          <w:szCs w:val="20"/>
        </w:rPr>
        <w:t>budget</w:t>
      </w:r>
      <w:proofErr w:type="gramEnd"/>
      <w:r w:rsidRPr="00906B57">
        <w:rPr>
          <w:rFonts w:ascii="Arial" w:hAnsi="Arial" w:cs="Arial"/>
          <w:sz w:val="20"/>
          <w:szCs w:val="20"/>
        </w:rPr>
        <w:t xml:space="preserve"> is allocated</w:t>
      </w:r>
      <w:r>
        <w:rPr>
          <w:rFonts w:ascii="Arial" w:hAnsi="Arial" w:cs="Arial"/>
          <w:sz w:val="20"/>
          <w:szCs w:val="20"/>
        </w:rPr>
        <w:t xml:space="preserve"> to the end user of the supply. </w:t>
      </w:r>
      <w:r w:rsidRPr="00906B57">
        <w:rPr>
          <w:rFonts w:ascii="Arial" w:hAnsi="Arial" w:cs="Arial"/>
          <w:sz w:val="20"/>
          <w:szCs w:val="20"/>
        </w:rPr>
        <w:t xml:space="preserve">It has also been agreed that we will be devolving the income from the 3rd Party Tenants at Managed Stations. </w:t>
      </w:r>
      <w:proofErr w:type="gramStart"/>
      <w:r w:rsidRPr="00906B57">
        <w:rPr>
          <w:rFonts w:ascii="Arial" w:hAnsi="Arial" w:cs="Arial"/>
          <w:sz w:val="20"/>
          <w:szCs w:val="20"/>
        </w:rPr>
        <w:t>i.e</w:t>
      </w:r>
      <w:proofErr w:type="gramEnd"/>
      <w:r w:rsidRPr="00906B57">
        <w:rPr>
          <w:rFonts w:ascii="Arial" w:hAnsi="Arial" w:cs="Arial"/>
          <w:sz w:val="20"/>
          <w:szCs w:val="20"/>
        </w:rPr>
        <w:t>. the income that is Non QX (Qualifying Expenditure), and EC4T.</w:t>
      </w:r>
    </w:p>
    <w:p w:rsidR="00906B57" w:rsidRDefault="00906B57" w:rsidP="00906B57">
      <w:pPr>
        <w:jc w:val="both"/>
        <w:rPr>
          <w:rFonts w:ascii="Arial" w:hAnsi="Arial" w:cs="Arial"/>
          <w:b/>
          <w:sz w:val="20"/>
          <w:szCs w:val="20"/>
          <w:u w:val="single"/>
        </w:rPr>
      </w:pPr>
      <w:r w:rsidRPr="00906B57">
        <w:rPr>
          <w:rFonts w:ascii="Arial" w:hAnsi="Arial" w:cs="Arial"/>
          <w:b/>
          <w:sz w:val="20"/>
          <w:szCs w:val="20"/>
          <w:u w:val="single"/>
        </w:rPr>
        <w:t>Phase 2</w:t>
      </w:r>
    </w:p>
    <w:p w:rsidR="00906B57" w:rsidRDefault="00906B57" w:rsidP="00906B57">
      <w:pPr>
        <w:jc w:val="both"/>
        <w:rPr>
          <w:rFonts w:ascii="Arial" w:hAnsi="Arial" w:cs="Arial"/>
          <w:sz w:val="20"/>
          <w:szCs w:val="20"/>
        </w:rPr>
      </w:pPr>
      <w:r w:rsidRPr="00906B57">
        <w:rPr>
          <w:rFonts w:ascii="Arial" w:hAnsi="Arial" w:cs="Arial"/>
          <w:sz w:val="20"/>
          <w:szCs w:val="20"/>
        </w:rPr>
        <w:t xml:space="preserve">In the continued spirit of devolving responsibilities and allowing costs to fall where they lie, the next stage to full budget devolution represents a pragmatic and sensible option. The pan route services </w:t>
      </w:r>
      <w:proofErr w:type="spellStart"/>
      <w:r w:rsidRPr="00906B57">
        <w:rPr>
          <w:rFonts w:ascii="Arial" w:hAnsi="Arial" w:cs="Arial"/>
          <w:sz w:val="20"/>
          <w:szCs w:val="20"/>
        </w:rPr>
        <w:t>workstream</w:t>
      </w:r>
      <w:proofErr w:type="spellEnd"/>
      <w:r w:rsidRPr="00906B57">
        <w:rPr>
          <w:rFonts w:ascii="Arial" w:hAnsi="Arial" w:cs="Arial"/>
          <w:sz w:val="20"/>
          <w:szCs w:val="20"/>
        </w:rPr>
        <w:t xml:space="preserve"> has laid a clear challenge to the centre that all costs incurred by the routes should be picked up by the routes, and </w:t>
      </w:r>
      <w:r w:rsidR="00B90CDD">
        <w:rPr>
          <w:rFonts w:ascii="Arial" w:hAnsi="Arial" w:cs="Arial"/>
          <w:sz w:val="20"/>
          <w:szCs w:val="20"/>
        </w:rPr>
        <w:t>that the role</w:t>
      </w:r>
      <w:r w:rsidRPr="00906B57">
        <w:rPr>
          <w:rFonts w:ascii="Arial" w:hAnsi="Arial" w:cs="Arial"/>
          <w:sz w:val="20"/>
          <w:szCs w:val="20"/>
        </w:rPr>
        <w:t xml:space="preserve"> of the centre is supporting with expertise and assurance. The next stage of devolution falls in line with this.</w:t>
      </w:r>
    </w:p>
    <w:p w:rsidR="00B3772C" w:rsidRPr="00906B57" w:rsidRDefault="00B3772C" w:rsidP="00906B57">
      <w:pPr>
        <w:jc w:val="both"/>
        <w:rPr>
          <w:rFonts w:ascii="Arial" w:hAnsi="Arial" w:cs="Arial"/>
          <w:sz w:val="20"/>
          <w:szCs w:val="20"/>
        </w:rPr>
      </w:pPr>
      <w:r>
        <w:rPr>
          <w:rFonts w:ascii="Arial" w:hAnsi="Arial" w:cs="Arial"/>
          <w:sz w:val="20"/>
          <w:szCs w:val="20"/>
        </w:rPr>
        <w:t>The routes having a target for consumption is where the opportunity to unlock the further efficiencies can come in. Th</w:t>
      </w:r>
      <w:r w:rsidR="001C00F6">
        <w:rPr>
          <w:rFonts w:ascii="Arial" w:hAnsi="Arial" w:cs="Arial"/>
          <w:sz w:val="20"/>
          <w:szCs w:val="20"/>
        </w:rPr>
        <w:t xml:space="preserve">e challenge is a tough one, </w:t>
      </w:r>
      <w:r>
        <w:rPr>
          <w:rFonts w:ascii="Arial" w:hAnsi="Arial" w:cs="Arial"/>
          <w:sz w:val="20"/>
          <w:szCs w:val="20"/>
        </w:rPr>
        <w:t xml:space="preserve">but </w:t>
      </w:r>
      <w:proofErr w:type="gramStart"/>
      <w:r>
        <w:rPr>
          <w:rFonts w:ascii="Arial" w:hAnsi="Arial" w:cs="Arial"/>
          <w:sz w:val="20"/>
          <w:szCs w:val="20"/>
        </w:rPr>
        <w:t>one we</w:t>
      </w:r>
      <w:proofErr w:type="gramEnd"/>
      <w:r>
        <w:rPr>
          <w:rFonts w:ascii="Arial" w:hAnsi="Arial" w:cs="Arial"/>
          <w:sz w:val="20"/>
          <w:szCs w:val="20"/>
        </w:rPr>
        <w:t xml:space="preserve"> can only meet if the responsibility is with the right people. </w:t>
      </w:r>
      <w:bookmarkStart w:id="0" w:name="_GoBack"/>
      <w:bookmarkEnd w:id="0"/>
    </w:p>
    <w:p w:rsidR="00906B57" w:rsidRDefault="00906B57" w:rsidP="00906B57">
      <w:pPr>
        <w:jc w:val="both"/>
        <w:rPr>
          <w:rFonts w:ascii="Arial" w:hAnsi="Arial" w:cs="Arial"/>
          <w:sz w:val="20"/>
          <w:szCs w:val="20"/>
        </w:rPr>
      </w:pPr>
      <w:r w:rsidRPr="00906B57">
        <w:rPr>
          <w:rFonts w:ascii="Arial" w:hAnsi="Arial" w:cs="Arial"/>
          <w:sz w:val="20"/>
          <w:szCs w:val="20"/>
        </w:rPr>
        <w:t xml:space="preserve">If routes are able to see the positive effect in their P&amp;L of managing energy, this will be a great incentive to manage our energy </w:t>
      </w:r>
      <w:r w:rsidR="00B90CDD">
        <w:rPr>
          <w:rFonts w:ascii="Arial" w:hAnsi="Arial" w:cs="Arial"/>
          <w:sz w:val="20"/>
          <w:szCs w:val="20"/>
        </w:rPr>
        <w:t xml:space="preserve">use </w:t>
      </w:r>
      <w:r w:rsidRPr="00906B57">
        <w:rPr>
          <w:rFonts w:ascii="Arial" w:hAnsi="Arial" w:cs="Arial"/>
          <w:sz w:val="20"/>
          <w:szCs w:val="20"/>
        </w:rPr>
        <w:t>effectively. We are starting from a particularly low baseline, so there is a large degree of unlocked opportunity.</w:t>
      </w:r>
    </w:p>
    <w:p w:rsidR="00906B57" w:rsidRPr="00906B57" w:rsidRDefault="00906B57" w:rsidP="00906B57">
      <w:pPr>
        <w:jc w:val="both"/>
        <w:rPr>
          <w:rFonts w:ascii="Arial" w:hAnsi="Arial" w:cs="Arial"/>
          <w:sz w:val="20"/>
          <w:szCs w:val="20"/>
        </w:rPr>
      </w:pPr>
      <w:r w:rsidRPr="00906B57">
        <w:rPr>
          <w:rFonts w:ascii="Arial" w:hAnsi="Arial" w:cs="Arial"/>
          <w:sz w:val="20"/>
          <w:szCs w:val="20"/>
        </w:rPr>
        <w:t xml:space="preserve">Each Route has now received a bespoke workshop from which individual Routes Energy Efficiency Action plans have been produced.  These plans represent realistic savings opportunities that do not rely </w:t>
      </w:r>
      <w:r w:rsidR="00B90CDD">
        <w:rPr>
          <w:rFonts w:ascii="Arial" w:hAnsi="Arial" w:cs="Arial"/>
          <w:sz w:val="20"/>
          <w:szCs w:val="20"/>
        </w:rPr>
        <w:t xml:space="preserve">solely </w:t>
      </w:r>
      <w:r w:rsidRPr="00906B57">
        <w:rPr>
          <w:rFonts w:ascii="Arial" w:hAnsi="Arial" w:cs="Arial"/>
          <w:sz w:val="20"/>
          <w:szCs w:val="20"/>
        </w:rPr>
        <w:t xml:space="preserve">on expensive capital outlays but instead are designed to harness behavioural change and identify simple actions to reduce consumption and identify where energy is being used inefficiently.  Conservatively, the energy costs reductions identified across all the Routes vary between </w:t>
      </w:r>
      <w:r w:rsidR="00B90CDD" w:rsidRPr="00906B57">
        <w:rPr>
          <w:rFonts w:ascii="Arial" w:hAnsi="Arial" w:cs="Arial"/>
          <w:sz w:val="20"/>
          <w:szCs w:val="20"/>
        </w:rPr>
        <w:t>1</w:t>
      </w:r>
      <w:r w:rsidR="00B90CDD">
        <w:rPr>
          <w:rFonts w:ascii="Arial" w:hAnsi="Arial" w:cs="Arial"/>
          <w:sz w:val="20"/>
          <w:szCs w:val="20"/>
        </w:rPr>
        <w:t>3</w:t>
      </w:r>
      <w:r w:rsidR="00B90CDD" w:rsidRPr="00906B57">
        <w:rPr>
          <w:rFonts w:ascii="Arial" w:hAnsi="Arial" w:cs="Arial"/>
          <w:sz w:val="20"/>
          <w:szCs w:val="20"/>
        </w:rPr>
        <w:t xml:space="preserve"> </w:t>
      </w:r>
      <w:r w:rsidRPr="00906B57">
        <w:rPr>
          <w:rFonts w:ascii="Arial" w:hAnsi="Arial" w:cs="Arial"/>
          <w:sz w:val="20"/>
          <w:szCs w:val="20"/>
        </w:rPr>
        <w:t xml:space="preserve">to </w:t>
      </w:r>
      <w:r w:rsidR="00B90CDD" w:rsidRPr="00906B57">
        <w:rPr>
          <w:rFonts w:ascii="Arial" w:hAnsi="Arial" w:cs="Arial"/>
          <w:sz w:val="20"/>
          <w:szCs w:val="20"/>
        </w:rPr>
        <w:t>2</w:t>
      </w:r>
      <w:r w:rsidR="00B90CDD">
        <w:rPr>
          <w:rFonts w:ascii="Arial" w:hAnsi="Arial" w:cs="Arial"/>
          <w:sz w:val="20"/>
          <w:szCs w:val="20"/>
        </w:rPr>
        <w:t>4</w:t>
      </w:r>
      <w:r w:rsidRPr="00906B57">
        <w:rPr>
          <w:rFonts w:ascii="Arial" w:hAnsi="Arial" w:cs="Arial"/>
          <w:sz w:val="20"/>
          <w:szCs w:val="20"/>
        </w:rPr>
        <w:t>% and more savings opportunities are likely to be established as Routes work through their action plans.</w:t>
      </w:r>
    </w:p>
    <w:p w:rsidR="00906B57" w:rsidRDefault="00906B57" w:rsidP="00906B57">
      <w:pPr>
        <w:jc w:val="both"/>
        <w:rPr>
          <w:rFonts w:ascii="Arial" w:hAnsi="Arial" w:cs="Arial"/>
          <w:sz w:val="20"/>
          <w:szCs w:val="20"/>
        </w:rPr>
      </w:pPr>
      <w:r w:rsidRPr="00906B57">
        <w:rPr>
          <w:rFonts w:ascii="Arial" w:hAnsi="Arial" w:cs="Arial"/>
          <w:sz w:val="20"/>
          <w:szCs w:val="20"/>
        </w:rPr>
        <w:t>From early discussions with routes, we have identified several opportunities to better off-charge so best to allow the costs to lie where they fall.</w:t>
      </w:r>
    </w:p>
    <w:p w:rsidR="00AB6742" w:rsidRDefault="00AB6742" w:rsidP="00906B57">
      <w:pPr>
        <w:jc w:val="both"/>
        <w:rPr>
          <w:rFonts w:ascii="Arial" w:hAnsi="Arial" w:cs="Arial"/>
          <w:sz w:val="20"/>
          <w:szCs w:val="20"/>
        </w:rPr>
      </w:pPr>
    </w:p>
    <w:p w:rsidR="00906B57" w:rsidRDefault="00906B57" w:rsidP="00906B57">
      <w:pPr>
        <w:jc w:val="both"/>
        <w:rPr>
          <w:rFonts w:ascii="Arial" w:hAnsi="Arial" w:cs="Arial"/>
          <w:b/>
          <w:sz w:val="20"/>
          <w:szCs w:val="20"/>
          <w:u w:val="single"/>
        </w:rPr>
      </w:pPr>
      <w:r>
        <w:rPr>
          <w:rFonts w:ascii="Arial" w:hAnsi="Arial" w:cs="Arial"/>
          <w:b/>
          <w:sz w:val="20"/>
          <w:szCs w:val="20"/>
          <w:u w:val="single"/>
        </w:rPr>
        <w:t xml:space="preserve">Key </w:t>
      </w:r>
      <w:r w:rsidRPr="00906B57">
        <w:rPr>
          <w:rFonts w:ascii="Arial" w:hAnsi="Arial" w:cs="Arial"/>
          <w:b/>
          <w:sz w:val="20"/>
          <w:szCs w:val="20"/>
          <w:u w:val="single"/>
        </w:rPr>
        <w:t>Features of Phase 2</w:t>
      </w:r>
    </w:p>
    <w:p w:rsidR="00645A9D" w:rsidRPr="00645A9D" w:rsidRDefault="00645A9D" w:rsidP="00645A9D">
      <w:pPr>
        <w:pStyle w:val="ListParagraph"/>
        <w:numPr>
          <w:ilvl w:val="0"/>
          <w:numId w:val="11"/>
        </w:numPr>
        <w:jc w:val="both"/>
        <w:rPr>
          <w:rFonts w:ascii="Arial" w:hAnsi="Arial" w:cs="Arial"/>
          <w:sz w:val="20"/>
          <w:szCs w:val="20"/>
        </w:rPr>
      </w:pPr>
      <w:r w:rsidRPr="00645A9D">
        <w:rPr>
          <w:rFonts w:ascii="Arial" w:hAnsi="Arial" w:cs="Arial"/>
          <w:sz w:val="20"/>
          <w:szCs w:val="20"/>
        </w:rPr>
        <w:t xml:space="preserve">TOC income and on/off charges, IP recharges and station tenant energy income devolved to the routes.  Routes will be able to identify other areas for billing, but central support will remain to </w:t>
      </w:r>
      <w:proofErr w:type="gramStart"/>
      <w:r w:rsidR="00171E03">
        <w:rPr>
          <w:rFonts w:ascii="Arial" w:hAnsi="Arial" w:cs="Arial"/>
          <w:sz w:val="20"/>
          <w:szCs w:val="20"/>
        </w:rPr>
        <w:t>advise</w:t>
      </w:r>
      <w:proofErr w:type="gramEnd"/>
      <w:r w:rsidR="00171E03">
        <w:rPr>
          <w:rFonts w:ascii="Arial" w:hAnsi="Arial" w:cs="Arial"/>
          <w:sz w:val="20"/>
          <w:szCs w:val="20"/>
        </w:rPr>
        <w:t xml:space="preserve">, calculate and </w:t>
      </w:r>
      <w:r w:rsidRPr="00645A9D">
        <w:rPr>
          <w:rFonts w:ascii="Arial" w:hAnsi="Arial" w:cs="Arial"/>
          <w:sz w:val="20"/>
          <w:szCs w:val="20"/>
        </w:rPr>
        <w:t>bill on their behalf.</w:t>
      </w:r>
    </w:p>
    <w:p w:rsidR="00645A9D" w:rsidRPr="00645A9D" w:rsidRDefault="00645A9D" w:rsidP="00645A9D">
      <w:pPr>
        <w:pStyle w:val="ListParagraph"/>
        <w:numPr>
          <w:ilvl w:val="0"/>
          <w:numId w:val="11"/>
        </w:numPr>
        <w:jc w:val="both"/>
        <w:rPr>
          <w:rFonts w:ascii="Arial" w:hAnsi="Arial" w:cs="Arial"/>
          <w:sz w:val="20"/>
          <w:szCs w:val="20"/>
        </w:rPr>
      </w:pPr>
      <w:r w:rsidRPr="00645A9D">
        <w:rPr>
          <w:rFonts w:ascii="Arial" w:hAnsi="Arial" w:cs="Arial"/>
          <w:sz w:val="20"/>
          <w:szCs w:val="20"/>
        </w:rPr>
        <w:t xml:space="preserve">Volume targets, including non -traction from traction, </w:t>
      </w:r>
      <w:r w:rsidR="00171E03">
        <w:rPr>
          <w:rFonts w:ascii="Arial" w:hAnsi="Arial" w:cs="Arial"/>
          <w:sz w:val="20"/>
          <w:szCs w:val="20"/>
        </w:rPr>
        <w:t>are</w:t>
      </w:r>
      <w:r w:rsidR="00171E03" w:rsidRPr="00645A9D">
        <w:rPr>
          <w:rFonts w:ascii="Arial" w:hAnsi="Arial" w:cs="Arial"/>
          <w:sz w:val="20"/>
          <w:szCs w:val="20"/>
        </w:rPr>
        <w:t xml:space="preserve"> </w:t>
      </w:r>
      <w:r w:rsidRPr="00645A9D">
        <w:rPr>
          <w:rFonts w:ascii="Arial" w:hAnsi="Arial" w:cs="Arial"/>
          <w:sz w:val="20"/>
          <w:szCs w:val="20"/>
        </w:rPr>
        <w:t>devolved to the routes. The volume baseline of the current model takes into account a wider range of more accurate data and hence routes will have a baseline that will be recognisable to them.</w:t>
      </w:r>
    </w:p>
    <w:p w:rsidR="00645A9D" w:rsidRPr="00645A9D" w:rsidRDefault="00645A9D" w:rsidP="00645A9D">
      <w:pPr>
        <w:pStyle w:val="ListParagraph"/>
        <w:numPr>
          <w:ilvl w:val="0"/>
          <w:numId w:val="11"/>
        </w:numPr>
        <w:jc w:val="both"/>
        <w:rPr>
          <w:rFonts w:ascii="Arial" w:hAnsi="Arial" w:cs="Arial"/>
          <w:sz w:val="20"/>
          <w:szCs w:val="20"/>
        </w:rPr>
      </w:pPr>
      <w:r w:rsidRPr="00645A9D">
        <w:rPr>
          <w:rFonts w:ascii="Arial" w:hAnsi="Arial" w:cs="Arial"/>
          <w:sz w:val="20"/>
          <w:szCs w:val="20"/>
        </w:rPr>
        <w:t xml:space="preserve">Unit rate accountability will be devolved to Route services (as is the case for materials and other services currently) </w:t>
      </w:r>
    </w:p>
    <w:p w:rsidR="00645A9D" w:rsidRPr="00645A9D" w:rsidRDefault="00645A9D" w:rsidP="00645A9D">
      <w:pPr>
        <w:pStyle w:val="ListParagraph"/>
        <w:numPr>
          <w:ilvl w:val="0"/>
          <w:numId w:val="11"/>
        </w:numPr>
        <w:jc w:val="both"/>
        <w:rPr>
          <w:rFonts w:ascii="Arial" w:hAnsi="Arial" w:cs="Arial"/>
          <w:sz w:val="20"/>
          <w:szCs w:val="20"/>
        </w:rPr>
      </w:pPr>
      <w:r w:rsidRPr="00645A9D">
        <w:rPr>
          <w:rFonts w:ascii="Arial" w:hAnsi="Arial" w:cs="Arial"/>
          <w:sz w:val="20"/>
          <w:szCs w:val="20"/>
        </w:rPr>
        <w:t>EC4T stays in STE for another year to ensure transparent devolution of budget by route.</w:t>
      </w:r>
    </w:p>
    <w:p w:rsidR="00645A9D" w:rsidRPr="00645A9D" w:rsidRDefault="00645A9D" w:rsidP="00645A9D">
      <w:pPr>
        <w:pStyle w:val="ListParagraph"/>
        <w:numPr>
          <w:ilvl w:val="0"/>
          <w:numId w:val="11"/>
        </w:numPr>
        <w:jc w:val="both"/>
        <w:rPr>
          <w:rFonts w:ascii="Arial" w:hAnsi="Arial" w:cs="Arial"/>
          <w:sz w:val="20"/>
          <w:szCs w:val="20"/>
        </w:rPr>
      </w:pPr>
      <w:r w:rsidRPr="00645A9D">
        <w:rPr>
          <w:rFonts w:ascii="Arial" w:hAnsi="Arial" w:cs="Arial"/>
          <w:sz w:val="20"/>
          <w:szCs w:val="20"/>
        </w:rPr>
        <w:t>Workplace management and Property budgets baselines and quantum yet to be confirmed by property, so their devolution will be deferred until later in the year as phase 3.</w:t>
      </w:r>
    </w:p>
    <w:p w:rsidR="00F26E2B" w:rsidRDefault="00645A9D" w:rsidP="00645A9D">
      <w:pPr>
        <w:pStyle w:val="ListParagraph"/>
        <w:numPr>
          <w:ilvl w:val="0"/>
          <w:numId w:val="11"/>
        </w:numPr>
        <w:jc w:val="both"/>
        <w:rPr>
          <w:rFonts w:ascii="Arial" w:hAnsi="Arial" w:cs="Arial"/>
          <w:sz w:val="20"/>
          <w:szCs w:val="20"/>
        </w:rPr>
      </w:pPr>
      <w:r w:rsidRPr="00645A9D">
        <w:rPr>
          <w:rFonts w:ascii="Arial" w:hAnsi="Arial" w:cs="Arial"/>
          <w:sz w:val="20"/>
          <w:szCs w:val="20"/>
        </w:rPr>
        <w:lastRenderedPageBreak/>
        <w:t>An average national unit rate for all the routes will be used in 16/17 and, once it is established that</w:t>
      </w:r>
      <w:r>
        <w:rPr>
          <w:rFonts w:ascii="Arial" w:hAnsi="Arial" w:cs="Arial"/>
          <w:sz w:val="20"/>
          <w:szCs w:val="20"/>
        </w:rPr>
        <w:t xml:space="preserve"> the new system, </w:t>
      </w:r>
      <w:proofErr w:type="spellStart"/>
      <w:r>
        <w:rPr>
          <w:rFonts w:ascii="Arial" w:hAnsi="Arial" w:cs="Arial"/>
          <w:sz w:val="20"/>
          <w:szCs w:val="20"/>
        </w:rPr>
        <w:t>EnergyLink</w:t>
      </w:r>
      <w:proofErr w:type="spellEnd"/>
      <w:r>
        <w:rPr>
          <w:rFonts w:ascii="Arial" w:hAnsi="Arial" w:cs="Arial"/>
          <w:sz w:val="20"/>
          <w:szCs w:val="20"/>
        </w:rPr>
        <w:t xml:space="preserve">, </w:t>
      </w:r>
      <w:r w:rsidRPr="00645A9D">
        <w:rPr>
          <w:rFonts w:ascii="Arial" w:hAnsi="Arial" w:cs="Arial"/>
          <w:sz w:val="20"/>
          <w:szCs w:val="20"/>
        </w:rPr>
        <w:t>can provide cost data, there will be a drive to replace this with a route unit rate from 17/18.  Once in place, Energy-Link will enable direct pass through of actual costs and information to create an accrual if necessary, rather than journal transfer calculated on actual volumes.</w:t>
      </w:r>
    </w:p>
    <w:tbl>
      <w:tblPr>
        <w:tblW w:w="6240" w:type="dxa"/>
        <w:jc w:val="center"/>
        <w:tblInd w:w="93" w:type="dxa"/>
        <w:tblLook w:val="04A0" w:firstRow="1" w:lastRow="0" w:firstColumn="1" w:lastColumn="0" w:noHBand="0" w:noVBand="1"/>
      </w:tblPr>
      <w:tblGrid>
        <w:gridCol w:w="1414"/>
        <w:gridCol w:w="2500"/>
        <w:gridCol w:w="2380"/>
      </w:tblGrid>
      <w:tr w:rsidR="00F26E2B" w:rsidRPr="00F26E2B" w:rsidTr="00F26E2B">
        <w:trPr>
          <w:trHeight w:val="300"/>
          <w:jc w:val="center"/>
        </w:trPr>
        <w:tc>
          <w:tcPr>
            <w:tcW w:w="1360" w:type="dxa"/>
            <w:tcBorders>
              <w:top w:val="nil"/>
              <w:left w:val="nil"/>
              <w:bottom w:val="nil"/>
              <w:right w:val="nil"/>
            </w:tcBorders>
            <w:shd w:val="clear" w:color="auto" w:fill="auto"/>
            <w:noWrap/>
            <w:vAlign w:val="bottom"/>
            <w:hideMark/>
          </w:tcPr>
          <w:p w:rsidR="00F26E2B" w:rsidRPr="00F26E2B" w:rsidRDefault="00F26E2B" w:rsidP="00F26E2B">
            <w:pPr>
              <w:spacing w:after="0" w:line="240" w:lineRule="auto"/>
              <w:rPr>
                <w:rFonts w:ascii="Calibri" w:eastAsia="Times New Roman" w:hAnsi="Calibri" w:cs="Times New Roman"/>
                <w:color w:val="000000"/>
                <w:lang w:eastAsia="en-GB"/>
              </w:rPr>
            </w:pPr>
          </w:p>
        </w:tc>
        <w:tc>
          <w:tcPr>
            <w:tcW w:w="2500" w:type="dxa"/>
            <w:tcBorders>
              <w:top w:val="nil"/>
              <w:left w:val="nil"/>
              <w:bottom w:val="nil"/>
              <w:right w:val="nil"/>
            </w:tcBorders>
            <w:shd w:val="clear" w:color="000000" w:fill="F79646"/>
            <w:noWrap/>
            <w:vAlign w:val="bottom"/>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Phase 1</w:t>
            </w:r>
          </w:p>
        </w:tc>
        <w:tc>
          <w:tcPr>
            <w:tcW w:w="2380" w:type="dxa"/>
            <w:tcBorders>
              <w:top w:val="nil"/>
              <w:left w:val="nil"/>
              <w:bottom w:val="nil"/>
              <w:right w:val="nil"/>
            </w:tcBorders>
            <w:shd w:val="clear" w:color="000000" w:fill="F79646"/>
            <w:noWrap/>
            <w:vAlign w:val="bottom"/>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Phase 2</w:t>
            </w:r>
          </w:p>
        </w:tc>
      </w:tr>
      <w:tr w:rsidR="00F26E2B" w:rsidRPr="00F26E2B" w:rsidTr="00F26E2B">
        <w:trPr>
          <w:trHeight w:val="300"/>
          <w:jc w:val="center"/>
        </w:trPr>
        <w:tc>
          <w:tcPr>
            <w:tcW w:w="1360" w:type="dxa"/>
            <w:tcBorders>
              <w:top w:val="nil"/>
              <w:left w:val="nil"/>
              <w:bottom w:val="nil"/>
              <w:right w:val="nil"/>
            </w:tcBorders>
            <w:shd w:val="clear" w:color="000000" w:fill="F79646"/>
            <w:noWrap/>
            <w:vAlign w:val="center"/>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Consumption</w:t>
            </w:r>
          </w:p>
        </w:tc>
        <w:tc>
          <w:tcPr>
            <w:tcW w:w="2500" w:type="dxa"/>
            <w:tcBorders>
              <w:top w:val="single" w:sz="4" w:space="0" w:color="1F497D"/>
              <w:left w:val="single" w:sz="4" w:space="0" w:color="1F497D"/>
              <w:bottom w:val="nil"/>
              <w:right w:val="nil"/>
            </w:tcBorders>
            <w:shd w:val="clear" w:color="auto" w:fill="auto"/>
            <w:noWrap/>
            <w:vAlign w:val="center"/>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Routes</w:t>
            </w:r>
          </w:p>
        </w:tc>
        <w:tc>
          <w:tcPr>
            <w:tcW w:w="2380" w:type="dxa"/>
            <w:tcBorders>
              <w:top w:val="single" w:sz="4" w:space="0" w:color="1F497D"/>
              <w:left w:val="nil"/>
              <w:bottom w:val="nil"/>
              <w:right w:val="single" w:sz="4" w:space="0" w:color="1F497D"/>
            </w:tcBorders>
            <w:shd w:val="clear" w:color="auto" w:fill="auto"/>
            <w:noWrap/>
            <w:vAlign w:val="center"/>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Routes</w:t>
            </w:r>
          </w:p>
        </w:tc>
      </w:tr>
      <w:tr w:rsidR="00F26E2B" w:rsidRPr="00F26E2B" w:rsidTr="00F26E2B">
        <w:trPr>
          <w:trHeight w:val="300"/>
          <w:jc w:val="center"/>
        </w:trPr>
        <w:tc>
          <w:tcPr>
            <w:tcW w:w="1360" w:type="dxa"/>
            <w:tcBorders>
              <w:top w:val="nil"/>
              <w:left w:val="nil"/>
              <w:bottom w:val="nil"/>
              <w:right w:val="nil"/>
            </w:tcBorders>
            <w:shd w:val="clear" w:color="000000" w:fill="F79646"/>
            <w:noWrap/>
            <w:vAlign w:val="center"/>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Income</w:t>
            </w:r>
          </w:p>
        </w:tc>
        <w:tc>
          <w:tcPr>
            <w:tcW w:w="2500" w:type="dxa"/>
            <w:tcBorders>
              <w:top w:val="nil"/>
              <w:left w:val="single" w:sz="4" w:space="0" w:color="1F497D"/>
              <w:bottom w:val="nil"/>
              <w:right w:val="nil"/>
            </w:tcBorders>
            <w:shd w:val="clear" w:color="auto" w:fill="auto"/>
            <w:noWrap/>
            <w:vAlign w:val="center"/>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HQ</w:t>
            </w:r>
          </w:p>
        </w:tc>
        <w:tc>
          <w:tcPr>
            <w:tcW w:w="2380" w:type="dxa"/>
            <w:tcBorders>
              <w:top w:val="nil"/>
              <w:left w:val="nil"/>
              <w:bottom w:val="nil"/>
              <w:right w:val="single" w:sz="4" w:space="0" w:color="1F497D"/>
            </w:tcBorders>
            <w:shd w:val="clear" w:color="auto" w:fill="auto"/>
            <w:noWrap/>
            <w:vAlign w:val="center"/>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Routes with HQ Support</w:t>
            </w:r>
          </w:p>
        </w:tc>
      </w:tr>
      <w:tr w:rsidR="00F26E2B" w:rsidRPr="00F26E2B" w:rsidTr="00F26E2B">
        <w:trPr>
          <w:trHeight w:val="300"/>
          <w:jc w:val="center"/>
        </w:trPr>
        <w:tc>
          <w:tcPr>
            <w:tcW w:w="1360" w:type="dxa"/>
            <w:tcBorders>
              <w:top w:val="nil"/>
              <w:left w:val="nil"/>
              <w:bottom w:val="nil"/>
              <w:right w:val="nil"/>
            </w:tcBorders>
            <w:shd w:val="clear" w:color="000000" w:fill="F79646"/>
            <w:noWrap/>
            <w:vAlign w:val="center"/>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Offcharging</w:t>
            </w:r>
          </w:p>
        </w:tc>
        <w:tc>
          <w:tcPr>
            <w:tcW w:w="2500" w:type="dxa"/>
            <w:tcBorders>
              <w:top w:val="nil"/>
              <w:left w:val="single" w:sz="4" w:space="0" w:color="1F497D"/>
              <w:bottom w:val="nil"/>
              <w:right w:val="nil"/>
            </w:tcBorders>
            <w:shd w:val="clear" w:color="auto" w:fill="auto"/>
            <w:noWrap/>
            <w:vAlign w:val="center"/>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HQ</w:t>
            </w:r>
          </w:p>
        </w:tc>
        <w:tc>
          <w:tcPr>
            <w:tcW w:w="2380" w:type="dxa"/>
            <w:tcBorders>
              <w:top w:val="nil"/>
              <w:left w:val="nil"/>
              <w:bottom w:val="nil"/>
              <w:right w:val="single" w:sz="4" w:space="0" w:color="1F497D"/>
            </w:tcBorders>
            <w:shd w:val="clear" w:color="auto" w:fill="auto"/>
            <w:noWrap/>
            <w:vAlign w:val="center"/>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Routes with HQ Support</w:t>
            </w:r>
          </w:p>
        </w:tc>
      </w:tr>
      <w:tr w:rsidR="00F26E2B" w:rsidRPr="00F26E2B" w:rsidTr="00F26E2B">
        <w:trPr>
          <w:trHeight w:val="300"/>
          <w:jc w:val="center"/>
        </w:trPr>
        <w:tc>
          <w:tcPr>
            <w:tcW w:w="1360" w:type="dxa"/>
            <w:tcBorders>
              <w:top w:val="nil"/>
              <w:left w:val="nil"/>
              <w:bottom w:val="nil"/>
              <w:right w:val="nil"/>
            </w:tcBorders>
            <w:shd w:val="clear" w:color="000000" w:fill="F79646"/>
            <w:noWrap/>
            <w:vAlign w:val="center"/>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Rate Risk</w:t>
            </w:r>
          </w:p>
        </w:tc>
        <w:tc>
          <w:tcPr>
            <w:tcW w:w="2500" w:type="dxa"/>
            <w:tcBorders>
              <w:top w:val="nil"/>
              <w:left w:val="single" w:sz="4" w:space="0" w:color="1F497D"/>
              <w:bottom w:val="single" w:sz="4" w:space="0" w:color="1F497D"/>
              <w:right w:val="nil"/>
            </w:tcBorders>
            <w:shd w:val="clear" w:color="auto" w:fill="auto"/>
            <w:noWrap/>
            <w:vAlign w:val="center"/>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HQ</w:t>
            </w:r>
          </w:p>
        </w:tc>
        <w:tc>
          <w:tcPr>
            <w:tcW w:w="2380" w:type="dxa"/>
            <w:tcBorders>
              <w:top w:val="nil"/>
              <w:left w:val="nil"/>
              <w:bottom w:val="single" w:sz="4" w:space="0" w:color="1F497D"/>
              <w:right w:val="single" w:sz="4" w:space="0" w:color="1F497D"/>
            </w:tcBorders>
            <w:shd w:val="clear" w:color="auto" w:fill="auto"/>
            <w:noWrap/>
            <w:vAlign w:val="center"/>
            <w:hideMark/>
          </w:tcPr>
          <w:p w:rsidR="00F26E2B" w:rsidRPr="00F26E2B" w:rsidRDefault="00F26E2B" w:rsidP="00F26E2B">
            <w:pPr>
              <w:spacing w:after="0" w:line="240" w:lineRule="auto"/>
              <w:jc w:val="center"/>
              <w:rPr>
                <w:rFonts w:ascii="Calibri" w:eastAsia="Times New Roman" w:hAnsi="Calibri" w:cs="Times New Roman"/>
                <w:color w:val="000000"/>
                <w:lang w:eastAsia="en-GB"/>
              </w:rPr>
            </w:pPr>
            <w:r w:rsidRPr="00F26E2B">
              <w:rPr>
                <w:rFonts w:ascii="Calibri" w:eastAsia="Times New Roman" w:hAnsi="Calibri" w:cs="Times New Roman"/>
                <w:color w:val="000000"/>
                <w:lang w:eastAsia="en-GB"/>
              </w:rPr>
              <w:t>HQ</w:t>
            </w:r>
          </w:p>
        </w:tc>
      </w:tr>
    </w:tbl>
    <w:p w:rsidR="00F26E2B" w:rsidRDefault="00F26E2B" w:rsidP="00F26E2B">
      <w:pPr>
        <w:jc w:val="both"/>
        <w:rPr>
          <w:rFonts w:ascii="Arial" w:hAnsi="Arial" w:cs="Arial"/>
          <w:sz w:val="20"/>
          <w:szCs w:val="20"/>
        </w:rPr>
      </w:pPr>
    </w:p>
    <w:p w:rsidR="00F26E2B" w:rsidRPr="00F26E2B" w:rsidRDefault="00F26E2B" w:rsidP="00F26E2B">
      <w:pPr>
        <w:jc w:val="both"/>
        <w:rPr>
          <w:rFonts w:ascii="Arial" w:hAnsi="Arial" w:cs="Arial"/>
          <w:b/>
          <w:sz w:val="20"/>
          <w:szCs w:val="20"/>
          <w:u w:val="single"/>
        </w:rPr>
      </w:pPr>
      <w:r w:rsidRPr="00F26E2B">
        <w:rPr>
          <w:rFonts w:ascii="Arial" w:hAnsi="Arial" w:cs="Arial"/>
          <w:b/>
          <w:sz w:val="20"/>
          <w:szCs w:val="20"/>
          <w:u w:val="single"/>
        </w:rPr>
        <w:t>Development of the model</w:t>
      </w:r>
      <w:r w:rsidR="009E71CF">
        <w:rPr>
          <w:rFonts w:ascii="Arial" w:hAnsi="Arial" w:cs="Arial"/>
          <w:b/>
          <w:sz w:val="20"/>
          <w:szCs w:val="20"/>
          <w:u w:val="single"/>
        </w:rPr>
        <w:t xml:space="preserve"> – Gas and Electricity</w:t>
      </w:r>
    </w:p>
    <w:p w:rsidR="00F26E2B" w:rsidRDefault="00F26E2B" w:rsidP="00F26E2B">
      <w:pPr>
        <w:jc w:val="both"/>
        <w:rPr>
          <w:rFonts w:ascii="Arial" w:hAnsi="Arial" w:cs="Arial"/>
          <w:sz w:val="20"/>
          <w:szCs w:val="20"/>
        </w:rPr>
      </w:pPr>
      <w:r>
        <w:rPr>
          <w:rFonts w:ascii="Arial" w:hAnsi="Arial" w:cs="Arial"/>
          <w:sz w:val="20"/>
          <w:szCs w:val="20"/>
        </w:rPr>
        <w:t xml:space="preserve">The </w:t>
      </w:r>
      <w:r w:rsidR="00171E03">
        <w:rPr>
          <w:rFonts w:ascii="Arial" w:hAnsi="Arial" w:cs="Arial"/>
          <w:sz w:val="20"/>
          <w:szCs w:val="20"/>
        </w:rPr>
        <w:t xml:space="preserve">energy </w:t>
      </w:r>
      <w:r w:rsidR="007A59AE">
        <w:rPr>
          <w:rFonts w:ascii="Arial" w:hAnsi="Arial" w:cs="Arial"/>
          <w:sz w:val="20"/>
          <w:szCs w:val="20"/>
        </w:rPr>
        <w:t xml:space="preserve">consumption model was developed by the BRT Analysis Team and the Group Analyst, STE. It applies to gas and electricity consumption and takes </w:t>
      </w:r>
      <w:r w:rsidR="00860306">
        <w:rPr>
          <w:rFonts w:ascii="Arial" w:hAnsi="Arial" w:cs="Arial"/>
          <w:sz w:val="20"/>
          <w:szCs w:val="20"/>
        </w:rPr>
        <w:t xml:space="preserve">historical and </w:t>
      </w:r>
      <w:r w:rsidR="007A59AE">
        <w:rPr>
          <w:rFonts w:ascii="Arial" w:hAnsi="Arial" w:cs="Arial"/>
          <w:sz w:val="20"/>
          <w:szCs w:val="20"/>
        </w:rPr>
        <w:t xml:space="preserve">existing </w:t>
      </w:r>
      <w:r w:rsidR="00860306">
        <w:rPr>
          <w:rFonts w:ascii="Arial" w:hAnsi="Arial" w:cs="Arial"/>
          <w:sz w:val="20"/>
          <w:szCs w:val="20"/>
        </w:rPr>
        <w:t xml:space="preserve">consumption </w:t>
      </w:r>
      <w:r w:rsidR="007A59AE">
        <w:rPr>
          <w:rFonts w:ascii="Arial" w:hAnsi="Arial" w:cs="Arial"/>
          <w:sz w:val="20"/>
          <w:szCs w:val="20"/>
        </w:rPr>
        <w:t>and extrapolates forwards.</w:t>
      </w:r>
    </w:p>
    <w:p w:rsidR="007A59AE" w:rsidRPr="007A59AE" w:rsidRDefault="007A59AE" w:rsidP="007A59AE">
      <w:pPr>
        <w:jc w:val="both"/>
        <w:rPr>
          <w:rFonts w:ascii="Arial" w:hAnsi="Arial" w:cs="Arial"/>
          <w:sz w:val="20"/>
          <w:szCs w:val="20"/>
        </w:rPr>
      </w:pPr>
      <w:r w:rsidRPr="007A59AE">
        <w:rPr>
          <w:rFonts w:ascii="Arial" w:hAnsi="Arial" w:cs="Arial"/>
          <w:sz w:val="20"/>
          <w:szCs w:val="20"/>
        </w:rPr>
        <w:t xml:space="preserve">The </w:t>
      </w:r>
      <w:r w:rsidR="00860306">
        <w:rPr>
          <w:rFonts w:ascii="Arial" w:hAnsi="Arial" w:cs="Arial"/>
          <w:sz w:val="20"/>
          <w:szCs w:val="20"/>
        </w:rPr>
        <w:t>e</w:t>
      </w:r>
      <w:r w:rsidR="00860306" w:rsidRPr="007A59AE">
        <w:rPr>
          <w:rFonts w:ascii="Arial" w:hAnsi="Arial" w:cs="Arial"/>
          <w:sz w:val="20"/>
          <w:szCs w:val="20"/>
        </w:rPr>
        <w:t xml:space="preserve">nergy </w:t>
      </w:r>
      <w:r w:rsidR="00860306">
        <w:rPr>
          <w:rFonts w:ascii="Arial" w:hAnsi="Arial" w:cs="Arial"/>
          <w:sz w:val="20"/>
          <w:szCs w:val="20"/>
        </w:rPr>
        <w:t>consumption</w:t>
      </w:r>
      <w:r w:rsidR="00860306" w:rsidRPr="007A59AE">
        <w:rPr>
          <w:rFonts w:ascii="Arial" w:hAnsi="Arial" w:cs="Arial"/>
          <w:sz w:val="20"/>
          <w:szCs w:val="20"/>
        </w:rPr>
        <w:t xml:space="preserve"> </w:t>
      </w:r>
      <w:r w:rsidRPr="007A59AE">
        <w:rPr>
          <w:rFonts w:ascii="Arial" w:hAnsi="Arial" w:cs="Arial"/>
          <w:sz w:val="20"/>
          <w:szCs w:val="20"/>
        </w:rPr>
        <w:t>model is designed to:</w:t>
      </w:r>
    </w:p>
    <w:p w:rsidR="007A59AE" w:rsidRDefault="007A59AE" w:rsidP="007A59AE">
      <w:pPr>
        <w:pStyle w:val="ListParagraph"/>
        <w:numPr>
          <w:ilvl w:val="0"/>
          <w:numId w:val="12"/>
        </w:numPr>
        <w:jc w:val="both"/>
        <w:rPr>
          <w:rFonts w:ascii="Arial" w:hAnsi="Arial" w:cs="Arial"/>
          <w:sz w:val="20"/>
          <w:szCs w:val="20"/>
        </w:rPr>
      </w:pPr>
      <w:r>
        <w:rPr>
          <w:rFonts w:ascii="Arial" w:hAnsi="Arial" w:cs="Arial"/>
          <w:sz w:val="20"/>
          <w:szCs w:val="20"/>
        </w:rPr>
        <w:t xml:space="preserve"> </w:t>
      </w:r>
      <w:r w:rsidRPr="007A59AE">
        <w:rPr>
          <w:rFonts w:ascii="Arial" w:hAnsi="Arial" w:cs="Arial"/>
          <w:sz w:val="20"/>
          <w:szCs w:val="20"/>
        </w:rPr>
        <w:t>provide actual electricity usage</w:t>
      </w:r>
      <w:r>
        <w:rPr>
          <w:rFonts w:ascii="Arial" w:hAnsi="Arial" w:cs="Arial"/>
          <w:sz w:val="20"/>
          <w:szCs w:val="20"/>
        </w:rPr>
        <w:t xml:space="preserve"> in kWh for FY14, FY15 and FY16</w:t>
      </w:r>
    </w:p>
    <w:p w:rsidR="007A59AE" w:rsidRPr="007A59AE" w:rsidRDefault="007A59AE" w:rsidP="007A59AE">
      <w:pPr>
        <w:pStyle w:val="ListParagraph"/>
        <w:numPr>
          <w:ilvl w:val="0"/>
          <w:numId w:val="12"/>
        </w:numPr>
        <w:jc w:val="both"/>
        <w:rPr>
          <w:rFonts w:ascii="Arial" w:hAnsi="Arial" w:cs="Arial"/>
          <w:sz w:val="20"/>
          <w:szCs w:val="20"/>
        </w:rPr>
      </w:pPr>
      <w:r>
        <w:rPr>
          <w:rFonts w:ascii="Arial" w:hAnsi="Arial" w:cs="Arial"/>
          <w:sz w:val="20"/>
          <w:szCs w:val="20"/>
        </w:rPr>
        <w:t xml:space="preserve"> </w:t>
      </w:r>
      <w:r w:rsidRPr="007A59AE">
        <w:rPr>
          <w:rFonts w:ascii="Arial" w:hAnsi="Arial" w:cs="Arial"/>
          <w:sz w:val="20"/>
          <w:szCs w:val="20"/>
        </w:rPr>
        <w:t>calculate electricity forecasts in kWh for the financial years FY17, FY18 and FY19</w:t>
      </w:r>
    </w:p>
    <w:p w:rsidR="007A59AE" w:rsidRPr="007A59AE" w:rsidRDefault="007A59AE" w:rsidP="007A59AE">
      <w:pPr>
        <w:jc w:val="both"/>
        <w:rPr>
          <w:rFonts w:ascii="Arial" w:hAnsi="Arial" w:cs="Arial"/>
          <w:sz w:val="20"/>
          <w:szCs w:val="20"/>
        </w:rPr>
      </w:pPr>
      <w:r w:rsidRPr="007A59AE">
        <w:rPr>
          <w:rFonts w:ascii="Arial" w:hAnsi="Arial" w:cs="Arial"/>
          <w:sz w:val="20"/>
          <w:szCs w:val="20"/>
        </w:rPr>
        <w:t>These forecasts are provided at Delivery Unit (DU) and Managed Stations level to be input as part of the business planning proce</w:t>
      </w:r>
      <w:r>
        <w:rPr>
          <w:rFonts w:ascii="Arial" w:hAnsi="Arial" w:cs="Arial"/>
          <w:sz w:val="20"/>
          <w:szCs w:val="20"/>
        </w:rPr>
        <w:t xml:space="preserve">ss for Control Period 5 (CP5). </w:t>
      </w:r>
    </w:p>
    <w:p w:rsidR="007A59AE" w:rsidRPr="007A59AE" w:rsidRDefault="007A59AE" w:rsidP="007A59AE">
      <w:pPr>
        <w:jc w:val="both"/>
        <w:rPr>
          <w:rFonts w:ascii="Arial" w:hAnsi="Arial" w:cs="Arial"/>
          <w:sz w:val="20"/>
          <w:szCs w:val="20"/>
        </w:rPr>
      </w:pPr>
      <w:r w:rsidRPr="007A59AE">
        <w:rPr>
          <w:rFonts w:ascii="Arial" w:hAnsi="Arial" w:cs="Arial"/>
          <w:sz w:val="20"/>
          <w:szCs w:val="20"/>
        </w:rPr>
        <w:t>The following are the assumption/caveats in the data provided:</w:t>
      </w:r>
    </w:p>
    <w:p w:rsidR="007A59AE" w:rsidRPr="007A59AE" w:rsidRDefault="007A59AE" w:rsidP="007A59AE">
      <w:pPr>
        <w:jc w:val="both"/>
        <w:rPr>
          <w:rFonts w:ascii="Arial" w:hAnsi="Arial" w:cs="Arial"/>
          <w:sz w:val="20"/>
          <w:szCs w:val="20"/>
          <w:u w:val="single"/>
        </w:rPr>
      </w:pPr>
      <w:r w:rsidRPr="007A59AE">
        <w:rPr>
          <w:rFonts w:ascii="Arial" w:hAnsi="Arial" w:cs="Arial"/>
          <w:sz w:val="20"/>
          <w:szCs w:val="20"/>
          <w:u w:val="single"/>
        </w:rPr>
        <w:t>Historic Data</w:t>
      </w:r>
    </w:p>
    <w:p w:rsidR="007A59AE" w:rsidRPr="007A59AE" w:rsidRDefault="007A59AE" w:rsidP="007A59AE">
      <w:pPr>
        <w:pStyle w:val="ListParagraph"/>
        <w:numPr>
          <w:ilvl w:val="0"/>
          <w:numId w:val="12"/>
        </w:numPr>
        <w:jc w:val="both"/>
        <w:rPr>
          <w:rFonts w:ascii="Arial" w:hAnsi="Arial" w:cs="Arial"/>
          <w:sz w:val="20"/>
          <w:szCs w:val="20"/>
        </w:rPr>
      </w:pPr>
      <w:r w:rsidRPr="007A59AE">
        <w:rPr>
          <w:rFonts w:ascii="Arial" w:hAnsi="Arial" w:cs="Arial"/>
          <w:sz w:val="20"/>
          <w:szCs w:val="20"/>
        </w:rPr>
        <w:t xml:space="preserve">The Electricity data provided by the Energy Management team is a mixture of actual metered and estimated data. Where actuals are missing, an estimate is provided. </w:t>
      </w:r>
    </w:p>
    <w:p w:rsidR="007A59AE" w:rsidRPr="007A59AE" w:rsidRDefault="007A59AE" w:rsidP="007A59AE">
      <w:pPr>
        <w:pStyle w:val="ListParagraph"/>
        <w:numPr>
          <w:ilvl w:val="0"/>
          <w:numId w:val="12"/>
        </w:numPr>
        <w:jc w:val="both"/>
        <w:rPr>
          <w:rFonts w:ascii="Arial" w:hAnsi="Arial" w:cs="Arial"/>
          <w:sz w:val="20"/>
          <w:szCs w:val="20"/>
        </w:rPr>
      </w:pPr>
      <w:r w:rsidRPr="007A59AE">
        <w:rPr>
          <w:rFonts w:ascii="Arial" w:hAnsi="Arial" w:cs="Arial"/>
          <w:sz w:val="20"/>
          <w:szCs w:val="20"/>
        </w:rPr>
        <w:t xml:space="preserve">Negative values are also included in the data to indicate an adjustment to reduce prior periods' consumption. The Electricity data for FY14 and FY15 does not show accurate period by period consumption. </w:t>
      </w:r>
    </w:p>
    <w:p w:rsidR="007A59AE" w:rsidRPr="007A59AE" w:rsidRDefault="007A59AE" w:rsidP="007A59AE">
      <w:pPr>
        <w:pStyle w:val="ListParagraph"/>
        <w:numPr>
          <w:ilvl w:val="0"/>
          <w:numId w:val="12"/>
        </w:numPr>
        <w:jc w:val="both"/>
        <w:rPr>
          <w:rFonts w:ascii="Arial" w:hAnsi="Arial" w:cs="Arial"/>
          <w:sz w:val="20"/>
          <w:szCs w:val="20"/>
        </w:rPr>
      </w:pPr>
      <w:r w:rsidRPr="007A59AE">
        <w:rPr>
          <w:rFonts w:ascii="Arial" w:hAnsi="Arial" w:cs="Arial"/>
          <w:sz w:val="20"/>
          <w:szCs w:val="20"/>
        </w:rPr>
        <w:t xml:space="preserve">For a significant number of sites consumption for 2-4 </w:t>
      </w:r>
      <w:proofErr w:type="gramStart"/>
      <w:r w:rsidRPr="007A59AE">
        <w:rPr>
          <w:rFonts w:ascii="Arial" w:hAnsi="Arial" w:cs="Arial"/>
          <w:sz w:val="20"/>
          <w:szCs w:val="20"/>
        </w:rPr>
        <w:t>periods</w:t>
      </w:r>
      <w:proofErr w:type="gramEnd"/>
      <w:r w:rsidRPr="007A59AE">
        <w:rPr>
          <w:rFonts w:ascii="Arial" w:hAnsi="Arial" w:cs="Arial"/>
          <w:sz w:val="20"/>
          <w:szCs w:val="20"/>
        </w:rPr>
        <w:t xml:space="preserve"> hits in a single period </w:t>
      </w:r>
      <w:r w:rsidR="00860306">
        <w:rPr>
          <w:rFonts w:ascii="Arial" w:hAnsi="Arial" w:cs="Arial"/>
          <w:sz w:val="20"/>
          <w:szCs w:val="20"/>
        </w:rPr>
        <w:t xml:space="preserve">due to irregular billing by suppliers, </w:t>
      </w:r>
      <w:r w:rsidRPr="007A59AE">
        <w:rPr>
          <w:rFonts w:ascii="Arial" w:hAnsi="Arial" w:cs="Arial"/>
          <w:sz w:val="20"/>
          <w:szCs w:val="20"/>
        </w:rPr>
        <w:t xml:space="preserve">and the Energy Management team does not apportion the usage back to the relevant periods.  </w:t>
      </w:r>
    </w:p>
    <w:p w:rsidR="007A59AE" w:rsidRPr="007A59AE" w:rsidRDefault="007A59AE" w:rsidP="007A59AE">
      <w:pPr>
        <w:pStyle w:val="ListParagraph"/>
        <w:numPr>
          <w:ilvl w:val="0"/>
          <w:numId w:val="12"/>
        </w:numPr>
        <w:jc w:val="both"/>
        <w:rPr>
          <w:rFonts w:ascii="Arial" w:hAnsi="Arial" w:cs="Arial"/>
          <w:sz w:val="20"/>
          <w:szCs w:val="20"/>
        </w:rPr>
      </w:pPr>
      <w:r w:rsidRPr="007A59AE">
        <w:rPr>
          <w:rFonts w:ascii="Arial" w:hAnsi="Arial" w:cs="Arial"/>
          <w:sz w:val="20"/>
          <w:szCs w:val="20"/>
        </w:rPr>
        <w:t xml:space="preserve">By P01 of FY16, circa 87% of automatic meters were installed which ensured that accurate consumption was being captured and charged. </w:t>
      </w:r>
    </w:p>
    <w:p w:rsidR="007A59AE" w:rsidRPr="007A59AE" w:rsidRDefault="007A59AE" w:rsidP="007A59AE">
      <w:pPr>
        <w:pStyle w:val="ListParagraph"/>
        <w:numPr>
          <w:ilvl w:val="0"/>
          <w:numId w:val="12"/>
        </w:numPr>
        <w:jc w:val="both"/>
        <w:rPr>
          <w:rFonts w:ascii="Arial" w:hAnsi="Arial" w:cs="Arial"/>
          <w:sz w:val="20"/>
          <w:szCs w:val="20"/>
        </w:rPr>
      </w:pPr>
      <w:r w:rsidRPr="007A59AE">
        <w:rPr>
          <w:rFonts w:ascii="Arial" w:hAnsi="Arial" w:cs="Arial"/>
          <w:sz w:val="20"/>
          <w:szCs w:val="20"/>
        </w:rPr>
        <w:t xml:space="preserve">The Energy Management team, however, does not have access to all the data from the automatic meters. Data from circa 76% meters is available. </w:t>
      </w:r>
    </w:p>
    <w:p w:rsidR="007A59AE" w:rsidRPr="007A59AE" w:rsidRDefault="007A59AE" w:rsidP="007A59AE">
      <w:pPr>
        <w:pStyle w:val="ListParagraph"/>
        <w:numPr>
          <w:ilvl w:val="0"/>
          <w:numId w:val="12"/>
        </w:numPr>
        <w:jc w:val="both"/>
        <w:rPr>
          <w:rFonts w:ascii="Arial" w:hAnsi="Arial" w:cs="Arial"/>
          <w:sz w:val="20"/>
          <w:szCs w:val="20"/>
        </w:rPr>
      </w:pPr>
      <w:r w:rsidRPr="007A59AE">
        <w:rPr>
          <w:rFonts w:ascii="Arial" w:hAnsi="Arial" w:cs="Arial"/>
          <w:sz w:val="20"/>
          <w:szCs w:val="20"/>
        </w:rPr>
        <w:t xml:space="preserve">For meters where data is unavailable, multiple </w:t>
      </w:r>
      <w:proofErr w:type="gramStart"/>
      <w:r w:rsidRPr="007A59AE">
        <w:rPr>
          <w:rFonts w:ascii="Arial" w:hAnsi="Arial" w:cs="Arial"/>
          <w:sz w:val="20"/>
          <w:szCs w:val="20"/>
        </w:rPr>
        <w:t>periods</w:t>
      </w:r>
      <w:proofErr w:type="gramEnd"/>
      <w:r w:rsidRPr="007A59AE">
        <w:rPr>
          <w:rFonts w:ascii="Arial" w:hAnsi="Arial" w:cs="Arial"/>
          <w:sz w:val="20"/>
          <w:szCs w:val="20"/>
        </w:rPr>
        <w:t xml:space="preserve"> consumption </w:t>
      </w:r>
      <w:r w:rsidR="00AD1544">
        <w:rPr>
          <w:rFonts w:ascii="Arial" w:hAnsi="Arial" w:cs="Arial"/>
          <w:sz w:val="20"/>
          <w:szCs w:val="20"/>
        </w:rPr>
        <w:t>may</w:t>
      </w:r>
      <w:r w:rsidR="00AD1544" w:rsidRPr="007A59AE">
        <w:rPr>
          <w:rFonts w:ascii="Arial" w:hAnsi="Arial" w:cs="Arial"/>
          <w:sz w:val="20"/>
          <w:szCs w:val="20"/>
        </w:rPr>
        <w:t xml:space="preserve"> </w:t>
      </w:r>
      <w:r w:rsidRPr="007A59AE">
        <w:rPr>
          <w:rFonts w:ascii="Arial" w:hAnsi="Arial" w:cs="Arial"/>
          <w:sz w:val="20"/>
          <w:szCs w:val="20"/>
        </w:rPr>
        <w:t>hit in a single period</w:t>
      </w:r>
      <w:r w:rsidR="00AD1544">
        <w:rPr>
          <w:rFonts w:ascii="Arial" w:hAnsi="Arial" w:cs="Arial"/>
          <w:sz w:val="20"/>
          <w:szCs w:val="20"/>
        </w:rPr>
        <w:t xml:space="preserve"> as data is taken from invoices received</w:t>
      </w:r>
      <w:r w:rsidRPr="007A59AE">
        <w:rPr>
          <w:rFonts w:ascii="Arial" w:hAnsi="Arial" w:cs="Arial"/>
          <w:sz w:val="20"/>
          <w:szCs w:val="20"/>
        </w:rPr>
        <w:t>.</w:t>
      </w:r>
    </w:p>
    <w:p w:rsidR="007A59AE" w:rsidRPr="007A59AE" w:rsidRDefault="007A59AE" w:rsidP="007A59AE">
      <w:pPr>
        <w:pStyle w:val="ListParagraph"/>
        <w:numPr>
          <w:ilvl w:val="0"/>
          <w:numId w:val="12"/>
        </w:numPr>
        <w:jc w:val="both"/>
        <w:rPr>
          <w:rFonts w:ascii="Arial" w:hAnsi="Arial" w:cs="Arial"/>
          <w:sz w:val="20"/>
          <w:szCs w:val="20"/>
        </w:rPr>
      </w:pPr>
      <w:r w:rsidRPr="007A59AE">
        <w:rPr>
          <w:rFonts w:ascii="Arial" w:hAnsi="Arial" w:cs="Arial"/>
          <w:sz w:val="20"/>
          <w:szCs w:val="20"/>
        </w:rPr>
        <w:t>This limited the ability to analyse data on a period by period basis. Hence a forecast based on moving averages was calculated and a seasonality trend applied to produc</w:t>
      </w:r>
      <w:r>
        <w:rPr>
          <w:rFonts w:ascii="Arial" w:hAnsi="Arial" w:cs="Arial"/>
          <w:sz w:val="20"/>
          <w:szCs w:val="20"/>
        </w:rPr>
        <w:t>e period on period consumption.</w:t>
      </w:r>
    </w:p>
    <w:p w:rsidR="007A59AE" w:rsidRPr="007A59AE" w:rsidRDefault="007A59AE" w:rsidP="007A59AE">
      <w:pPr>
        <w:jc w:val="both"/>
        <w:rPr>
          <w:rFonts w:ascii="Arial" w:hAnsi="Arial" w:cs="Arial"/>
          <w:sz w:val="20"/>
          <w:szCs w:val="20"/>
          <w:u w:val="single"/>
        </w:rPr>
      </w:pPr>
      <w:r w:rsidRPr="007A59AE">
        <w:rPr>
          <w:rFonts w:ascii="Arial" w:hAnsi="Arial" w:cs="Arial"/>
          <w:sz w:val="20"/>
          <w:szCs w:val="20"/>
          <w:u w:val="single"/>
        </w:rPr>
        <w:t>Data Cleansing</w:t>
      </w:r>
    </w:p>
    <w:p w:rsidR="007A59AE" w:rsidRPr="007A59AE" w:rsidRDefault="007A59AE" w:rsidP="007A59AE">
      <w:pPr>
        <w:jc w:val="both"/>
        <w:rPr>
          <w:rFonts w:ascii="Arial" w:hAnsi="Arial" w:cs="Arial"/>
          <w:sz w:val="20"/>
          <w:szCs w:val="20"/>
          <w:u w:val="single"/>
        </w:rPr>
      </w:pPr>
      <w:r w:rsidRPr="007A59AE">
        <w:rPr>
          <w:rFonts w:ascii="Arial" w:hAnsi="Arial" w:cs="Arial"/>
          <w:sz w:val="20"/>
          <w:szCs w:val="20"/>
          <w:u w:val="single"/>
        </w:rPr>
        <w:t>Managed Stations electricity meters</w:t>
      </w:r>
    </w:p>
    <w:p w:rsidR="007A59AE" w:rsidRPr="007A59AE" w:rsidRDefault="007A59AE" w:rsidP="007A59AE">
      <w:pPr>
        <w:pStyle w:val="ListParagraph"/>
        <w:numPr>
          <w:ilvl w:val="0"/>
          <w:numId w:val="13"/>
        </w:numPr>
        <w:jc w:val="both"/>
        <w:rPr>
          <w:rFonts w:ascii="Arial" w:hAnsi="Arial" w:cs="Arial"/>
          <w:sz w:val="20"/>
          <w:szCs w:val="20"/>
        </w:rPr>
      </w:pPr>
      <w:r w:rsidRPr="007A59AE">
        <w:rPr>
          <w:rFonts w:ascii="Arial" w:hAnsi="Arial" w:cs="Arial"/>
          <w:sz w:val="20"/>
          <w:szCs w:val="20"/>
        </w:rPr>
        <w:t xml:space="preserve">In the data provided, some sites located at managed stations were pointing towards delivery units. E.g. Liverpool Street </w:t>
      </w:r>
      <w:proofErr w:type="spellStart"/>
      <w:r w:rsidRPr="007A59AE">
        <w:rPr>
          <w:rFonts w:ascii="Arial" w:hAnsi="Arial" w:cs="Arial"/>
          <w:sz w:val="20"/>
          <w:szCs w:val="20"/>
        </w:rPr>
        <w:t>stn</w:t>
      </w:r>
      <w:proofErr w:type="spellEnd"/>
      <w:r w:rsidRPr="007A59AE">
        <w:rPr>
          <w:rFonts w:ascii="Arial" w:hAnsi="Arial" w:cs="Arial"/>
          <w:sz w:val="20"/>
          <w:szCs w:val="20"/>
        </w:rPr>
        <w:t xml:space="preserve"> (elec1) is mapped to Romford DU (based on 2016 DU's assignment). </w:t>
      </w:r>
    </w:p>
    <w:p w:rsidR="007A59AE" w:rsidRPr="007A59AE" w:rsidRDefault="007A59AE" w:rsidP="007A59AE">
      <w:pPr>
        <w:pStyle w:val="ListParagraph"/>
        <w:numPr>
          <w:ilvl w:val="0"/>
          <w:numId w:val="13"/>
        </w:numPr>
        <w:jc w:val="both"/>
        <w:rPr>
          <w:rFonts w:ascii="Arial" w:hAnsi="Arial" w:cs="Arial"/>
          <w:sz w:val="20"/>
          <w:szCs w:val="20"/>
        </w:rPr>
      </w:pPr>
      <w:r w:rsidRPr="007A59AE">
        <w:rPr>
          <w:rFonts w:ascii="Arial" w:hAnsi="Arial" w:cs="Arial"/>
          <w:sz w:val="20"/>
          <w:szCs w:val="20"/>
        </w:rPr>
        <w:t xml:space="preserve">In this model, all managed stations meters have been mapped to their respective managed stations and route. </w:t>
      </w:r>
      <w:r w:rsidR="00AD1544">
        <w:rPr>
          <w:rFonts w:ascii="Arial" w:hAnsi="Arial" w:cs="Arial"/>
          <w:sz w:val="20"/>
          <w:szCs w:val="20"/>
        </w:rPr>
        <w:t xml:space="preserve">  Route por</w:t>
      </w:r>
      <w:r w:rsidR="000A2243">
        <w:rPr>
          <w:rFonts w:ascii="Arial" w:hAnsi="Arial" w:cs="Arial"/>
          <w:sz w:val="20"/>
          <w:szCs w:val="20"/>
        </w:rPr>
        <w:t>t</w:t>
      </w:r>
      <w:r w:rsidR="00AD1544">
        <w:rPr>
          <w:rFonts w:ascii="Arial" w:hAnsi="Arial" w:cs="Arial"/>
          <w:sz w:val="20"/>
          <w:szCs w:val="20"/>
        </w:rPr>
        <w:t>folios will be held in Energy Link and all included sites and meters will be visible to routes through an online energy portal.  Routes will need to ensure that any anomalies are reported to the Energy Management Team to ensure correct alignment and apportionment of consumption.</w:t>
      </w:r>
      <w:r w:rsidRPr="007A59AE">
        <w:rPr>
          <w:rFonts w:ascii="Arial" w:hAnsi="Arial" w:cs="Arial"/>
          <w:sz w:val="20"/>
          <w:szCs w:val="20"/>
        </w:rPr>
        <w:t xml:space="preserve"> </w:t>
      </w:r>
    </w:p>
    <w:p w:rsidR="007A59AE" w:rsidRPr="007A59AE" w:rsidRDefault="007A59AE" w:rsidP="007A59AE">
      <w:pPr>
        <w:jc w:val="both"/>
        <w:rPr>
          <w:rFonts w:ascii="Arial" w:hAnsi="Arial" w:cs="Arial"/>
          <w:sz w:val="20"/>
          <w:szCs w:val="20"/>
          <w:u w:val="single"/>
        </w:rPr>
      </w:pPr>
      <w:r w:rsidRPr="007A59AE">
        <w:rPr>
          <w:rFonts w:ascii="Arial" w:hAnsi="Arial" w:cs="Arial"/>
          <w:sz w:val="20"/>
          <w:szCs w:val="20"/>
          <w:u w:val="single"/>
        </w:rPr>
        <w:lastRenderedPageBreak/>
        <w:t>Non Traction from Traction (NTFT)</w:t>
      </w:r>
    </w:p>
    <w:p w:rsidR="007A59AE" w:rsidRPr="007A59AE" w:rsidRDefault="007A59AE" w:rsidP="007A59AE">
      <w:pPr>
        <w:pStyle w:val="ListParagraph"/>
        <w:numPr>
          <w:ilvl w:val="0"/>
          <w:numId w:val="14"/>
        </w:numPr>
        <w:jc w:val="both"/>
        <w:rPr>
          <w:rFonts w:ascii="Arial" w:hAnsi="Arial" w:cs="Arial"/>
          <w:sz w:val="20"/>
          <w:szCs w:val="20"/>
        </w:rPr>
      </w:pPr>
      <w:r w:rsidRPr="007A59AE">
        <w:rPr>
          <w:rFonts w:ascii="Arial" w:hAnsi="Arial" w:cs="Arial"/>
          <w:sz w:val="20"/>
          <w:szCs w:val="20"/>
        </w:rPr>
        <w:t xml:space="preserve">The model includes annual NTFT data split by DU for Non-Traction, TO Depot consumption, 3rd Party Non-Traction and Conrail heating (CRH). </w:t>
      </w:r>
    </w:p>
    <w:p w:rsidR="007A59AE" w:rsidRPr="007A59AE" w:rsidRDefault="007A59AE" w:rsidP="007A59AE">
      <w:pPr>
        <w:pStyle w:val="ListParagraph"/>
        <w:numPr>
          <w:ilvl w:val="0"/>
          <w:numId w:val="14"/>
        </w:numPr>
        <w:jc w:val="both"/>
        <w:rPr>
          <w:rFonts w:ascii="Arial" w:hAnsi="Arial" w:cs="Arial"/>
          <w:sz w:val="20"/>
          <w:szCs w:val="20"/>
        </w:rPr>
      </w:pPr>
      <w:r w:rsidRPr="007A59AE">
        <w:rPr>
          <w:rFonts w:ascii="Arial" w:hAnsi="Arial" w:cs="Arial"/>
          <w:sz w:val="20"/>
          <w:szCs w:val="20"/>
        </w:rPr>
        <w:t xml:space="preserve">The data is available for each DU by location. Please note that information for CRH (Conrail Heating) is not available by location, hence CRH is split only at DU level. </w:t>
      </w:r>
    </w:p>
    <w:p w:rsidR="007A59AE" w:rsidRPr="007A59AE" w:rsidRDefault="007A59AE" w:rsidP="007A59AE">
      <w:pPr>
        <w:pStyle w:val="ListParagraph"/>
        <w:numPr>
          <w:ilvl w:val="0"/>
          <w:numId w:val="14"/>
        </w:numPr>
        <w:jc w:val="both"/>
        <w:rPr>
          <w:rFonts w:ascii="Arial" w:hAnsi="Arial" w:cs="Arial"/>
          <w:sz w:val="20"/>
          <w:szCs w:val="20"/>
        </w:rPr>
      </w:pPr>
      <w:r w:rsidRPr="007A59AE">
        <w:rPr>
          <w:rFonts w:ascii="Arial" w:hAnsi="Arial" w:cs="Arial"/>
          <w:sz w:val="20"/>
          <w:szCs w:val="20"/>
        </w:rPr>
        <w:t>The data will be at location level going forward because CRH are now all metered.</w:t>
      </w:r>
    </w:p>
    <w:p w:rsidR="007A59AE" w:rsidRPr="007A59AE" w:rsidRDefault="007A59AE" w:rsidP="007A59AE">
      <w:pPr>
        <w:pStyle w:val="ListParagraph"/>
        <w:numPr>
          <w:ilvl w:val="0"/>
          <w:numId w:val="14"/>
        </w:numPr>
        <w:jc w:val="both"/>
        <w:rPr>
          <w:rFonts w:ascii="Arial" w:hAnsi="Arial" w:cs="Arial"/>
          <w:sz w:val="20"/>
          <w:szCs w:val="20"/>
        </w:rPr>
      </w:pPr>
      <w:r w:rsidRPr="007A59AE">
        <w:rPr>
          <w:rFonts w:ascii="Arial" w:hAnsi="Arial" w:cs="Arial"/>
          <w:sz w:val="20"/>
          <w:szCs w:val="20"/>
        </w:rPr>
        <w:t>Since the data available is annual rather than period on period, this limits the ability to apply</w:t>
      </w:r>
      <w:r>
        <w:rPr>
          <w:rFonts w:ascii="Arial" w:hAnsi="Arial" w:cs="Arial"/>
          <w:sz w:val="20"/>
          <w:szCs w:val="20"/>
        </w:rPr>
        <w:t xml:space="preserve"> </w:t>
      </w:r>
      <w:r w:rsidRPr="007A59AE">
        <w:rPr>
          <w:rFonts w:ascii="Arial" w:hAnsi="Arial" w:cs="Arial"/>
          <w:sz w:val="20"/>
          <w:szCs w:val="20"/>
        </w:rPr>
        <w:t>modelling techniques and forecast is kept constant in future years.</w:t>
      </w:r>
    </w:p>
    <w:p w:rsidR="007A59AE" w:rsidRPr="007A59AE" w:rsidRDefault="007A59AE" w:rsidP="007A59AE">
      <w:pPr>
        <w:pStyle w:val="ListParagraph"/>
        <w:numPr>
          <w:ilvl w:val="0"/>
          <w:numId w:val="14"/>
        </w:numPr>
        <w:jc w:val="both"/>
        <w:rPr>
          <w:rFonts w:ascii="Arial" w:hAnsi="Arial" w:cs="Arial"/>
          <w:sz w:val="20"/>
          <w:szCs w:val="20"/>
        </w:rPr>
      </w:pPr>
      <w:r w:rsidRPr="007A59AE">
        <w:rPr>
          <w:rFonts w:ascii="Arial" w:hAnsi="Arial" w:cs="Arial"/>
          <w:sz w:val="20"/>
          <w:szCs w:val="20"/>
        </w:rPr>
        <w:t xml:space="preserve">Note that Managed Stations do not have NTFT data. </w:t>
      </w:r>
    </w:p>
    <w:p w:rsidR="007A59AE" w:rsidRPr="007A59AE" w:rsidRDefault="007A59AE" w:rsidP="007A59AE">
      <w:pPr>
        <w:pStyle w:val="ListParagraph"/>
        <w:numPr>
          <w:ilvl w:val="0"/>
          <w:numId w:val="14"/>
        </w:numPr>
        <w:jc w:val="both"/>
        <w:rPr>
          <w:rFonts w:ascii="Arial" w:hAnsi="Arial" w:cs="Arial"/>
          <w:sz w:val="20"/>
          <w:szCs w:val="20"/>
        </w:rPr>
      </w:pPr>
      <w:r w:rsidRPr="007A59AE">
        <w:rPr>
          <w:rFonts w:ascii="Arial" w:hAnsi="Arial" w:cs="Arial"/>
          <w:sz w:val="20"/>
          <w:szCs w:val="20"/>
        </w:rPr>
        <w:t>The following DU's do not have any data for NTFT: Derby, Donc</w:t>
      </w:r>
      <w:r>
        <w:rPr>
          <w:rFonts w:ascii="Arial" w:hAnsi="Arial" w:cs="Arial"/>
          <w:sz w:val="20"/>
          <w:szCs w:val="20"/>
        </w:rPr>
        <w:t xml:space="preserve">aster, Leeds, </w:t>
      </w:r>
      <w:proofErr w:type="spellStart"/>
      <w:r>
        <w:rPr>
          <w:rFonts w:ascii="Arial" w:hAnsi="Arial" w:cs="Arial"/>
          <w:sz w:val="20"/>
          <w:szCs w:val="20"/>
        </w:rPr>
        <w:t>Sheffiled</w:t>
      </w:r>
      <w:proofErr w:type="spellEnd"/>
      <w:r>
        <w:rPr>
          <w:rFonts w:ascii="Arial" w:hAnsi="Arial" w:cs="Arial"/>
          <w:sz w:val="20"/>
          <w:szCs w:val="20"/>
        </w:rPr>
        <w:t xml:space="preserve">, York, </w:t>
      </w:r>
      <w:proofErr w:type="spellStart"/>
      <w:r w:rsidRPr="007A59AE">
        <w:rPr>
          <w:rFonts w:ascii="Arial" w:hAnsi="Arial" w:cs="Arial"/>
          <w:sz w:val="20"/>
          <w:szCs w:val="20"/>
        </w:rPr>
        <w:t>Saltley</w:t>
      </w:r>
      <w:proofErr w:type="spellEnd"/>
      <w:r w:rsidRPr="007A59AE">
        <w:rPr>
          <w:rFonts w:ascii="Arial" w:hAnsi="Arial" w:cs="Arial"/>
          <w:sz w:val="20"/>
          <w:szCs w:val="20"/>
        </w:rPr>
        <w:t xml:space="preserve">, Edinburgh, Perth, Cardiff, Shrewsbury, Bristol, Plymouth, Reading, </w:t>
      </w:r>
      <w:proofErr w:type="gramStart"/>
      <w:r w:rsidRPr="007A59AE">
        <w:rPr>
          <w:rFonts w:ascii="Arial" w:hAnsi="Arial" w:cs="Arial"/>
          <w:sz w:val="20"/>
          <w:szCs w:val="20"/>
        </w:rPr>
        <w:t>Swindon</w:t>
      </w:r>
      <w:proofErr w:type="gramEnd"/>
      <w:r w:rsidRPr="007A59AE">
        <w:rPr>
          <w:rFonts w:ascii="Arial" w:hAnsi="Arial" w:cs="Arial"/>
          <w:sz w:val="20"/>
          <w:szCs w:val="20"/>
        </w:rPr>
        <w:t xml:space="preserve">. </w:t>
      </w:r>
    </w:p>
    <w:p w:rsidR="007A59AE" w:rsidRPr="007A59AE" w:rsidRDefault="007A59AE" w:rsidP="007A59AE">
      <w:pPr>
        <w:pStyle w:val="ListParagraph"/>
        <w:numPr>
          <w:ilvl w:val="0"/>
          <w:numId w:val="14"/>
        </w:numPr>
        <w:jc w:val="both"/>
        <w:rPr>
          <w:rFonts w:ascii="Arial" w:hAnsi="Arial" w:cs="Arial"/>
          <w:sz w:val="20"/>
          <w:szCs w:val="20"/>
        </w:rPr>
      </w:pPr>
      <w:r w:rsidRPr="007A59AE">
        <w:rPr>
          <w:rFonts w:ascii="Arial" w:hAnsi="Arial" w:cs="Arial"/>
          <w:sz w:val="20"/>
          <w:szCs w:val="20"/>
        </w:rPr>
        <w:t xml:space="preserve">No efficiencies have been assumed in the BAU version for NTFT however routes are required to liaise with Energy Management and propose efficiencies for FY17-FY19 in NTFT by DU sheet. </w:t>
      </w:r>
    </w:p>
    <w:p w:rsidR="007A59AE" w:rsidRPr="007A59AE" w:rsidRDefault="007A59AE" w:rsidP="007A59AE">
      <w:pPr>
        <w:jc w:val="both"/>
        <w:rPr>
          <w:rFonts w:ascii="Arial" w:hAnsi="Arial" w:cs="Arial"/>
          <w:sz w:val="20"/>
          <w:szCs w:val="20"/>
          <w:u w:val="single"/>
        </w:rPr>
      </w:pPr>
      <w:r w:rsidRPr="007A59AE">
        <w:rPr>
          <w:rFonts w:ascii="Arial" w:hAnsi="Arial" w:cs="Arial"/>
          <w:sz w:val="20"/>
          <w:szCs w:val="20"/>
          <w:u w:val="single"/>
        </w:rPr>
        <w:t>Efficiency Percentages</w:t>
      </w:r>
    </w:p>
    <w:p w:rsidR="007A59AE" w:rsidRPr="007A59AE" w:rsidRDefault="007A59AE" w:rsidP="007A59AE">
      <w:pPr>
        <w:pStyle w:val="ListParagraph"/>
        <w:numPr>
          <w:ilvl w:val="0"/>
          <w:numId w:val="15"/>
        </w:numPr>
        <w:jc w:val="both"/>
        <w:rPr>
          <w:rFonts w:ascii="Arial" w:hAnsi="Arial" w:cs="Arial"/>
          <w:sz w:val="20"/>
          <w:szCs w:val="20"/>
        </w:rPr>
      </w:pPr>
      <w:r w:rsidRPr="007A59AE">
        <w:rPr>
          <w:rFonts w:ascii="Arial" w:hAnsi="Arial" w:cs="Arial"/>
          <w:sz w:val="20"/>
          <w:szCs w:val="20"/>
        </w:rPr>
        <w:t xml:space="preserve">For all sites, efficiency percentages have been set as defaults for illustration purposes. </w:t>
      </w:r>
    </w:p>
    <w:p w:rsidR="007A59AE" w:rsidRPr="007A59AE" w:rsidRDefault="007A59AE" w:rsidP="007A59AE">
      <w:pPr>
        <w:pStyle w:val="ListParagraph"/>
        <w:numPr>
          <w:ilvl w:val="0"/>
          <w:numId w:val="15"/>
        </w:numPr>
        <w:jc w:val="both"/>
        <w:rPr>
          <w:rFonts w:ascii="Arial" w:hAnsi="Arial" w:cs="Arial"/>
          <w:sz w:val="20"/>
          <w:szCs w:val="20"/>
        </w:rPr>
      </w:pPr>
      <w:r w:rsidRPr="007A59AE">
        <w:rPr>
          <w:rFonts w:ascii="Arial" w:hAnsi="Arial" w:cs="Arial"/>
          <w:sz w:val="20"/>
          <w:szCs w:val="20"/>
        </w:rPr>
        <w:t xml:space="preserve">On each DU/Managed Stations sheet, the ORR Target % (variance vs FY14) for each year is also shown for </w:t>
      </w:r>
      <w:r w:rsidR="000A2243" w:rsidRPr="007A59AE">
        <w:rPr>
          <w:rFonts w:ascii="Arial" w:hAnsi="Arial" w:cs="Arial"/>
          <w:sz w:val="20"/>
          <w:szCs w:val="20"/>
        </w:rPr>
        <w:t>comparator</w:t>
      </w:r>
      <w:r w:rsidRPr="007A59AE">
        <w:rPr>
          <w:rFonts w:ascii="Arial" w:hAnsi="Arial" w:cs="Arial"/>
          <w:sz w:val="20"/>
          <w:szCs w:val="20"/>
        </w:rPr>
        <w:t xml:space="preserve"> purposes. </w:t>
      </w:r>
    </w:p>
    <w:p w:rsidR="007A59AE" w:rsidRDefault="007A59AE" w:rsidP="007A59AE">
      <w:pPr>
        <w:pStyle w:val="ListParagraph"/>
        <w:numPr>
          <w:ilvl w:val="0"/>
          <w:numId w:val="15"/>
        </w:numPr>
        <w:jc w:val="both"/>
        <w:rPr>
          <w:rFonts w:ascii="Arial" w:hAnsi="Arial" w:cs="Arial"/>
          <w:sz w:val="20"/>
          <w:szCs w:val="20"/>
        </w:rPr>
      </w:pPr>
      <w:r w:rsidRPr="007A59AE">
        <w:rPr>
          <w:rFonts w:ascii="Arial" w:hAnsi="Arial" w:cs="Arial"/>
          <w:sz w:val="20"/>
          <w:szCs w:val="20"/>
        </w:rPr>
        <w:t>It is left to the DU/Managed Station's discretion to liaise with the Energy Management team and amend the year on year efficiencies f</w:t>
      </w:r>
      <w:r>
        <w:rPr>
          <w:rFonts w:ascii="Arial" w:hAnsi="Arial" w:cs="Arial"/>
          <w:sz w:val="20"/>
          <w:szCs w:val="20"/>
        </w:rPr>
        <w:t>or FY17 - FY19 as they see fit.</w:t>
      </w:r>
    </w:p>
    <w:p w:rsidR="00CA6C19" w:rsidRDefault="00CA6C19" w:rsidP="007A59AE">
      <w:pPr>
        <w:jc w:val="both"/>
        <w:rPr>
          <w:rFonts w:ascii="Arial" w:hAnsi="Arial" w:cs="Arial"/>
          <w:sz w:val="20"/>
          <w:szCs w:val="20"/>
        </w:rPr>
      </w:pPr>
    </w:p>
    <w:p w:rsidR="00CA6C19" w:rsidRPr="00CA6C19" w:rsidRDefault="00CA6C19" w:rsidP="007A59AE">
      <w:pPr>
        <w:jc w:val="both"/>
        <w:rPr>
          <w:rFonts w:ascii="Arial" w:hAnsi="Arial" w:cs="Arial"/>
          <w:sz w:val="20"/>
          <w:szCs w:val="20"/>
          <w:u w:val="single"/>
        </w:rPr>
      </w:pPr>
      <w:r w:rsidRPr="00CA6C19">
        <w:rPr>
          <w:rFonts w:ascii="Arial" w:hAnsi="Arial" w:cs="Arial"/>
          <w:sz w:val="20"/>
          <w:szCs w:val="20"/>
          <w:u w:val="single"/>
        </w:rPr>
        <w:t>Seasonality Trend and Forecasting</w:t>
      </w:r>
    </w:p>
    <w:p w:rsidR="007A59AE" w:rsidRPr="007A59AE" w:rsidRDefault="007A59AE" w:rsidP="007A59AE">
      <w:pPr>
        <w:jc w:val="both"/>
        <w:rPr>
          <w:rFonts w:ascii="Arial" w:hAnsi="Arial" w:cs="Arial"/>
          <w:sz w:val="20"/>
          <w:szCs w:val="20"/>
        </w:rPr>
      </w:pPr>
      <w:r w:rsidRPr="007A59AE">
        <w:rPr>
          <w:rFonts w:ascii="Arial" w:hAnsi="Arial" w:cs="Arial"/>
          <w:sz w:val="20"/>
          <w:szCs w:val="20"/>
        </w:rPr>
        <w:t xml:space="preserve">To calculate the seasonality trend, the following data cleansing methodology has been applied to the last 13 periods of actual data (i.e. FY15 P10 - FY16 P9): </w:t>
      </w:r>
    </w:p>
    <w:p w:rsidR="007A59AE" w:rsidRPr="007A59AE" w:rsidRDefault="00CA6C19" w:rsidP="00CA6C19">
      <w:pPr>
        <w:pStyle w:val="ListParagraph"/>
        <w:numPr>
          <w:ilvl w:val="0"/>
          <w:numId w:val="15"/>
        </w:numPr>
        <w:jc w:val="both"/>
        <w:rPr>
          <w:rFonts w:ascii="Arial" w:hAnsi="Arial" w:cs="Arial"/>
          <w:sz w:val="20"/>
          <w:szCs w:val="20"/>
        </w:rPr>
      </w:pPr>
      <w:r>
        <w:rPr>
          <w:rFonts w:ascii="Arial" w:hAnsi="Arial" w:cs="Arial"/>
          <w:sz w:val="20"/>
          <w:szCs w:val="20"/>
        </w:rPr>
        <w:t xml:space="preserve"> </w:t>
      </w:r>
      <w:r w:rsidR="007A59AE" w:rsidRPr="007A59AE">
        <w:rPr>
          <w:rFonts w:ascii="Arial" w:hAnsi="Arial" w:cs="Arial"/>
          <w:sz w:val="20"/>
          <w:szCs w:val="20"/>
        </w:rPr>
        <w:t>For each period, only those sites with positive values have been included. Sites with negative</w:t>
      </w:r>
      <w:r w:rsidR="00B3772C">
        <w:rPr>
          <w:rFonts w:ascii="Arial" w:hAnsi="Arial" w:cs="Arial"/>
          <w:sz w:val="20"/>
          <w:szCs w:val="20"/>
        </w:rPr>
        <w:t xml:space="preserve"> values</w:t>
      </w:r>
      <w:r w:rsidR="007A59AE" w:rsidRPr="007A59AE">
        <w:rPr>
          <w:rFonts w:ascii="Arial" w:hAnsi="Arial" w:cs="Arial"/>
          <w:sz w:val="20"/>
          <w:szCs w:val="20"/>
        </w:rPr>
        <w:t xml:space="preserve"> have been excluded from the trend analysis.</w:t>
      </w:r>
    </w:p>
    <w:p w:rsidR="007A59AE" w:rsidRPr="007A59AE" w:rsidRDefault="00CA6C19" w:rsidP="00CA6C19">
      <w:pPr>
        <w:pStyle w:val="ListParagraph"/>
        <w:numPr>
          <w:ilvl w:val="0"/>
          <w:numId w:val="15"/>
        </w:numPr>
        <w:jc w:val="both"/>
        <w:rPr>
          <w:rFonts w:ascii="Arial" w:hAnsi="Arial" w:cs="Arial"/>
          <w:sz w:val="20"/>
          <w:szCs w:val="20"/>
        </w:rPr>
      </w:pPr>
      <w:r>
        <w:rPr>
          <w:rFonts w:ascii="Arial" w:hAnsi="Arial" w:cs="Arial"/>
          <w:sz w:val="20"/>
          <w:szCs w:val="20"/>
        </w:rPr>
        <w:t xml:space="preserve"> </w:t>
      </w:r>
      <w:r w:rsidR="007A59AE" w:rsidRPr="007A59AE">
        <w:rPr>
          <w:rFonts w:ascii="Arial" w:hAnsi="Arial" w:cs="Arial"/>
          <w:sz w:val="20"/>
          <w:szCs w:val="20"/>
        </w:rPr>
        <w:t xml:space="preserve">This reduced the number of sites from circa 8,000 to circa 4,000 (i.e. the number of modelling points per period) </w:t>
      </w:r>
    </w:p>
    <w:p w:rsidR="007A59AE" w:rsidRPr="007A59AE" w:rsidRDefault="00CA6C19" w:rsidP="00CA6C19">
      <w:pPr>
        <w:pStyle w:val="ListParagraph"/>
        <w:numPr>
          <w:ilvl w:val="0"/>
          <w:numId w:val="15"/>
        </w:numPr>
        <w:jc w:val="both"/>
        <w:rPr>
          <w:rFonts w:ascii="Arial" w:hAnsi="Arial" w:cs="Arial"/>
          <w:sz w:val="20"/>
          <w:szCs w:val="20"/>
        </w:rPr>
      </w:pPr>
      <w:r>
        <w:rPr>
          <w:rFonts w:ascii="Arial" w:hAnsi="Arial" w:cs="Arial"/>
          <w:sz w:val="20"/>
          <w:szCs w:val="20"/>
        </w:rPr>
        <w:t xml:space="preserve"> </w:t>
      </w:r>
      <w:r w:rsidR="007A59AE" w:rsidRPr="007A59AE">
        <w:rPr>
          <w:rFonts w:ascii="Arial" w:hAnsi="Arial" w:cs="Arial"/>
          <w:sz w:val="20"/>
          <w:szCs w:val="20"/>
        </w:rPr>
        <w:t xml:space="preserve">Based on these data points a % proportion for each route is calculated per period. </w:t>
      </w:r>
    </w:p>
    <w:p w:rsidR="007A59AE" w:rsidRPr="007A59AE" w:rsidRDefault="007A59AE" w:rsidP="00CA6C19">
      <w:pPr>
        <w:pStyle w:val="ListParagraph"/>
        <w:numPr>
          <w:ilvl w:val="0"/>
          <w:numId w:val="15"/>
        </w:numPr>
        <w:jc w:val="both"/>
        <w:rPr>
          <w:rFonts w:ascii="Arial" w:hAnsi="Arial" w:cs="Arial"/>
          <w:sz w:val="20"/>
          <w:szCs w:val="20"/>
        </w:rPr>
      </w:pPr>
      <w:r w:rsidRPr="007A59AE">
        <w:rPr>
          <w:rFonts w:ascii="Arial" w:hAnsi="Arial" w:cs="Arial"/>
          <w:sz w:val="20"/>
          <w:szCs w:val="20"/>
        </w:rPr>
        <w:t xml:space="preserve"> LNW and Wessex </w:t>
      </w:r>
      <w:r w:rsidR="00D9433C">
        <w:rPr>
          <w:rFonts w:ascii="Arial" w:hAnsi="Arial" w:cs="Arial"/>
          <w:sz w:val="20"/>
          <w:szCs w:val="20"/>
        </w:rPr>
        <w:t>s</w:t>
      </w:r>
      <w:r w:rsidR="00D9433C" w:rsidRPr="007A59AE">
        <w:rPr>
          <w:rFonts w:ascii="Arial" w:hAnsi="Arial" w:cs="Arial"/>
          <w:sz w:val="20"/>
          <w:szCs w:val="20"/>
        </w:rPr>
        <w:t xml:space="preserve">easonality </w:t>
      </w:r>
      <w:r w:rsidRPr="007A59AE">
        <w:rPr>
          <w:rFonts w:ascii="Arial" w:hAnsi="Arial" w:cs="Arial"/>
          <w:sz w:val="20"/>
          <w:szCs w:val="20"/>
        </w:rPr>
        <w:t xml:space="preserve">percentages were adjusted as they were showing a downward trend from P10 to P11 in comparison to other routes. </w:t>
      </w:r>
    </w:p>
    <w:p w:rsidR="007A59AE" w:rsidRPr="007A59AE" w:rsidRDefault="007A59AE" w:rsidP="00CA6C19">
      <w:pPr>
        <w:pStyle w:val="ListParagraph"/>
        <w:numPr>
          <w:ilvl w:val="0"/>
          <w:numId w:val="15"/>
        </w:numPr>
        <w:jc w:val="both"/>
        <w:rPr>
          <w:rFonts w:ascii="Arial" w:hAnsi="Arial" w:cs="Arial"/>
          <w:sz w:val="20"/>
          <w:szCs w:val="20"/>
        </w:rPr>
      </w:pPr>
      <w:r w:rsidRPr="007A59AE">
        <w:rPr>
          <w:rFonts w:ascii="Arial" w:hAnsi="Arial" w:cs="Arial"/>
          <w:sz w:val="20"/>
          <w:szCs w:val="20"/>
        </w:rPr>
        <w:t xml:space="preserve">An adjusted percentage is calculated using average period percentage change from P10 to P11 for all other routes. This change is 7.46%. This is applied to LNW &amp; Wessex and the remaining period percentages </w:t>
      </w:r>
      <w:r w:rsidR="00CA6C19" w:rsidRPr="007A59AE">
        <w:rPr>
          <w:rFonts w:ascii="Arial" w:hAnsi="Arial" w:cs="Arial"/>
          <w:sz w:val="20"/>
          <w:szCs w:val="20"/>
        </w:rPr>
        <w:t>are</w:t>
      </w:r>
      <w:r w:rsidR="00CA6C19">
        <w:rPr>
          <w:rFonts w:ascii="Arial" w:hAnsi="Arial" w:cs="Arial"/>
          <w:sz w:val="20"/>
          <w:szCs w:val="20"/>
        </w:rPr>
        <w:t xml:space="preserve"> </w:t>
      </w:r>
      <w:r w:rsidR="00CA6C19" w:rsidRPr="00CA6C19">
        <w:rPr>
          <w:rFonts w:ascii="Arial" w:hAnsi="Arial" w:cs="Arial"/>
          <w:sz w:val="20"/>
          <w:szCs w:val="20"/>
        </w:rPr>
        <w:t>reapportioned to come back to 100% for the 13 periods.</w:t>
      </w:r>
    </w:p>
    <w:p w:rsidR="007A59AE" w:rsidRPr="007A59AE" w:rsidRDefault="007A59AE" w:rsidP="007A59AE">
      <w:pPr>
        <w:jc w:val="both"/>
        <w:rPr>
          <w:rFonts w:ascii="Arial" w:hAnsi="Arial" w:cs="Arial"/>
          <w:sz w:val="20"/>
          <w:szCs w:val="20"/>
          <w:u w:val="single"/>
        </w:rPr>
      </w:pPr>
      <w:r w:rsidRPr="007A59AE">
        <w:rPr>
          <w:rFonts w:ascii="Arial" w:hAnsi="Arial" w:cs="Arial"/>
          <w:sz w:val="20"/>
          <w:szCs w:val="20"/>
          <w:u w:val="single"/>
        </w:rPr>
        <w:t>Seasonality Trend Application</w:t>
      </w:r>
    </w:p>
    <w:p w:rsidR="007A59AE" w:rsidRPr="007A59AE" w:rsidRDefault="007A59AE" w:rsidP="007A59AE">
      <w:pPr>
        <w:jc w:val="both"/>
        <w:rPr>
          <w:rFonts w:ascii="Arial" w:hAnsi="Arial" w:cs="Arial"/>
          <w:sz w:val="20"/>
          <w:szCs w:val="20"/>
          <w:u w:val="single"/>
        </w:rPr>
      </w:pPr>
      <w:r w:rsidRPr="007A59AE">
        <w:rPr>
          <w:rFonts w:ascii="Arial" w:hAnsi="Arial" w:cs="Arial"/>
          <w:sz w:val="20"/>
          <w:szCs w:val="20"/>
          <w:u w:val="single"/>
        </w:rPr>
        <w:t>FY16 P11 - P13</w:t>
      </w:r>
    </w:p>
    <w:p w:rsidR="007A59AE" w:rsidRPr="007A59AE" w:rsidRDefault="007A59AE" w:rsidP="007A59AE">
      <w:pPr>
        <w:pStyle w:val="ListParagraph"/>
        <w:numPr>
          <w:ilvl w:val="0"/>
          <w:numId w:val="15"/>
        </w:numPr>
        <w:jc w:val="both"/>
        <w:rPr>
          <w:rFonts w:ascii="Arial" w:hAnsi="Arial" w:cs="Arial"/>
          <w:sz w:val="20"/>
          <w:szCs w:val="20"/>
        </w:rPr>
      </w:pPr>
      <w:r w:rsidRPr="007A59AE">
        <w:rPr>
          <w:rFonts w:ascii="Arial" w:hAnsi="Arial" w:cs="Arial"/>
          <w:sz w:val="20"/>
          <w:szCs w:val="20"/>
        </w:rPr>
        <w:t xml:space="preserve">Actual data points for P1 - P10 are used to determine the proportion percentage usage for these periods. The remaining percentage is then applied to determine the usage for the last 3 periods (P11 - P13). </w:t>
      </w:r>
    </w:p>
    <w:p w:rsidR="007A59AE" w:rsidRPr="007A59AE" w:rsidRDefault="007A59AE" w:rsidP="007A59AE">
      <w:pPr>
        <w:pStyle w:val="ListParagraph"/>
        <w:numPr>
          <w:ilvl w:val="0"/>
          <w:numId w:val="16"/>
        </w:numPr>
        <w:jc w:val="both"/>
        <w:rPr>
          <w:rFonts w:ascii="Arial" w:hAnsi="Arial" w:cs="Arial"/>
          <w:sz w:val="20"/>
          <w:szCs w:val="20"/>
        </w:rPr>
      </w:pPr>
      <w:proofErr w:type="gramStart"/>
      <w:r w:rsidRPr="007A59AE">
        <w:rPr>
          <w:rFonts w:ascii="Arial" w:hAnsi="Arial" w:cs="Arial"/>
          <w:sz w:val="20"/>
          <w:szCs w:val="20"/>
        </w:rPr>
        <w:t>e.g</w:t>
      </w:r>
      <w:proofErr w:type="gramEnd"/>
      <w:r w:rsidRPr="007A59AE">
        <w:rPr>
          <w:rFonts w:ascii="Arial" w:hAnsi="Arial" w:cs="Arial"/>
          <w:sz w:val="20"/>
          <w:szCs w:val="20"/>
        </w:rPr>
        <w:t>. Ashford MDU Depot (Electricity) site (</w:t>
      </w:r>
      <w:proofErr w:type="spellStart"/>
      <w:r w:rsidRPr="007A59AE">
        <w:rPr>
          <w:rFonts w:ascii="Arial" w:hAnsi="Arial" w:cs="Arial"/>
          <w:sz w:val="20"/>
          <w:szCs w:val="20"/>
        </w:rPr>
        <w:t>sitecode</w:t>
      </w:r>
      <w:proofErr w:type="spellEnd"/>
      <w:r w:rsidRPr="007A59AE">
        <w:rPr>
          <w:rFonts w:ascii="Arial" w:hAnsi="Arial" w:cs="Arial"/>
          <w:sz w:val="20"/>
          <w:szCs w:val="20"/>
        </w:rPr>
        <w:t xml:space="preserve">: 2360662): At P10 Year total usage is 408,180 kWh. These 10 periods amounts to 68.43% of </w:t>
      </w:r>
      <w:r w:rsidR="00B3772C">
        <w:rPr>
          <w:rFonts w:ascii="Arial" w:hAnsi="Arial" w:cs="Arial"/>
          <w:sz w:val="20"/>
          <w:szCs w:val="20"/>
        </w:rPr>
        <w:t>the total</w:t>
      </w:r>
      <w:r w:rsidRPr="007A59AE">
        <w:rPr>
          <w:rFonts w:ascii="Arial" w:hAnsi="Arial" w:cs="Arial"/>
          <w:sz w:val="20"/>
          <w:szCs w:val="20"/>
        </w:rPr>
        <w:t xml:space="preserve"> yearly usage for FY16. </w:t>
      </w:r>
    </w:p>
    <w:p w:rsidR="007A59AE" w:rsidRPr="007A59AE" w:rsidRDefault="007A59AE" w:rsidP="007A59AE">
      <w:pPr>
        <w:pStyle w:val="ListParagraph"/>
        <w:numPr>
          <w:ilvl w:val="0"/>
          <w:numId w:val="16"/>
        </w:numPr>
        <w:jc w:val="both"/>
        <w:rPr>
          <w:rFonts w:ascii="Arial" w:hAnsi="Arial" w:cs="Arial"/>
          <w:sz w:val="20"/>
          <w:szCs w:val="20"/>
        </w:rPr>
      </w:pPr>
      <w:r w:rsidRPr="007A59AE">
        <w:rPr>
          <w:rFonts w:ascii="Arial" w:hAnsi="Arial" w:cs="Arial"/>
          <w:sz w:val="20"/>
          <w:szCs w:val="20"/>
        </w:rPr>
        <w:t xml:space="preserve">Using this percentage the FY16 full year total usage is calculated as 596,456 kWh. The remaining seasonality percentages of 11.57%, 11.12% and 8.87% were applied to P11-P13 respectively. </w:t>
      </w:r>
    </w:p>
    <w:p w:rsidR="007A59AE" w:rsidRPr="007A59AE" w:rsidRDefault="007A59AE" w:rsidP="007A59AE">
      <w:pPr>
        <w:jc w:val="both"/>
        <w:rPr>
          <w:rFonts w:ascii="Arial" w:hAnsi="Arial" w:cs="Arial"/>
          <w:sz w:val="20"/>
          <w:szCs w:val="20"/>
          <w:u w:val="single"/>
        </w:rPr>
      </w:pPr>
      <w:r w:rsidRPr="007A59AE">
        <w:rPr>
          <w:rFonts w:ascii="Arial" w:hAnsi="Arial" w:cs="Arial"/>
          <w:sz w:val="20"/>
          <w:szCs w:val="20"/>
          <w:u w:val="single"/>
        </w:rPr>
        <w:t>Moving Average</w:t>
      </w:r>
    </w:p>
    <w:p w:rsidR="007A59AE" w:rsidRPr="007A59AE" w:rsidRDefault="007A59AE" w:rsidP="007A59AE">
      <w:pPr>
        <w:jc w:val="both"/>
        <w:rPr>
          <w:rFonts w:ascii="Arial" w:hAnsi="Arial" w:cs="Arial"/>
          <w:sz w:val="20"/>
          <w:szCs w:val="20"/>
          <w:u w:val="single"/>
        </w:rPr>
      </w:pPr>
      <w:r w:rsidRPr="007A59AE">
        <w:rPr>
          <w:rFonts w:ascii="Arial" w:hAnsi="Arial" w:cs="Arial"/>
          <w:sz w:val="20"/>
          <w:szCs w:val="20"/>
          <w:u w:val="single"/>
        </w:rPr>
        <w:t>FY17</w:t>
      </w:r>
    </w:p>
    <w:p w:rsidR="007A59AE" w:rsidRPr="007A59AE" w:rsidRDefault="007A59AE" w:rsidP="007A59AE">
      <w:pPr>
        <w:jc w:val="both"/>
        <w:rPr>
          <w:rFonts w:ascii="Arial" w:hAnsi="Arial" w:cs="Arial"/>
          <w:sz w:val="20"/>
          <w:szCs w:val="20"/>
        </w:rPr>
      </w:pPr>
      <w:r w:rsidRPr="007A59AE">
        <w:rPr>
          <w:rFonts w:ascii="Arial" w:hAnsi="Arial" w:cs="Arial"/>
          <w:sz w:val="20"/>
          <w:szCs w:val="20"/>
        </w:rPr>
        <w:lastRenderedPageBreak/>
        <w:t xml:space="preserve">To determine period data for FY17, a moving average of 27 periods is applied. E.g. for FY17 P1, an average of FY14 P1 - FY16 P1 has been used. This is rolled over to calculate a moving average for remaining periods. </w:t>
      </w:r>
    </w:p>
    <w:p w:rsidR="007A59AE" w:rsidRPr="007A59AE" w:rsidRDefault="007A59AE" w:rsidP="007A59AE">
      <w:pPr>
        <w:jc w:val="both"/>
        <w:rPr>
          <w:rFonts w:ascii="Arial" w:hAnsi="Arial" w:cs="Arial"/>
          <w:sz w:val="20"/>
          <w:szCs w:val="20"/>
          <w:u w:val="single"/>
        </w:rPr>
      </w:pPr>
      <w:r w:rsidRPr="007A59AE">
        <w:rPr>
          <w:rFonts w:ascii="Arial" w:hAnsi="Arial" w:cs="Arial"/>
          <w:sz w:val="20"/>
          <w:szCs w:val="20"/>
          <w:u w:val="single"/>
        </w:rPr>
        <w:t>FY18</w:t>
      </w:r>
    </w:p>
    <w:p w:rsidR="007A59AE" w:rsidRPr="007A59AE" w:rsidRDefault="007A59AE" w:rsidP="007A59AE">
      <w:pPr>
        <w:jc w:val="both"/>
        <w:rPr>
          <w:rFonts w:ascii="Arial" w:hAnsi="Arial" w:cs="Arial"/>
          <w:sz w:val="20"/>
          <w:szCs w:val="20"/>
        </w:rPr>
      </w:pPr>
      <w:r w:rsidRPr="007A59AE">
        <w:rPr>
          <w:rFonts w:ascii="Arial" w:hAnsi="Arial" w:cs="Arial"/>
          <w:sz w:val="20"/>
          <w:szCs w:val="20"/>
        </w:rPr>
        <w:t xml:space="preserve">To determine period data for FY17, a moving average of 40 periods is applied. E.g. for FY18 P1, an average of FY14 P1 - FY17 P1 has been used. This is rolled over to calculate a moving average for remaining periods. </w:t>
      </w:r>
    </w:p>
    <w:p w:rsidR="007A59AE" w:rsidRPr="007A59AE" w:rsidRDefault="007A59AE" w:rsidP="007A59AE">
      <w:pPr>
        <w:jc w:val="both"/>
        <w:rPr>
          <w:rFonts w:ascii="Arial" w:hAnsi="Arial" w:cs="Arial"/>
          <w:sz w:val="20"/>
          <w:szCs w:val="20"/>
          <w:u w:val="single"/>
        </w:rPr>
      </w:pPr>
      <w:r w:rsidRPr="007A59AE">
        <w:rPr>
          <w:rFonts w:ascii="Arial" w:hAnsi="Arial" w:cs="Arial"/>
          <w:sz w:val="20"/>
          <w:szCs w:val="20"/>
          <w:u w:val="single"/>
        </w:rPr>
        <w:t>FY19</w:t>
      </w:r>
    </w:p>
    <w:p w:rsidR="007A59AE" w:rsidRPr="007A59AE" w:rsidRDefault="007A59AE" w:rsidP="007A59AE">
      <w:pPr>
        <w:jc w:val="both"/>
        <w:rPr>
          <w:rFonts w:ascii="Arial" w:hAnsi="Arial" w:cs="Arial"/>
          <w:sz w:val="20"/>
          <w:szCs w:val="20"/>
        </w:rPr>
      </w:pPr>
      <w:r w:rsidRPr="007A59AE">
        <w:rPr>
          <w:rFonts w:ascii="Arial" w:hAnsi="Arial" w:cs="Arial"/>
          <w:sz w:val="20"/>
          <w:szCs w:val="20"/>
        </w:rPr>
        <w:t xml:space="preserve">To determine period data for FY17, a moving average of 53 periods is applied. E.g. for FY19 P1, an average of FY14 P1 - FY18 P1 has been used. This is rolled over to calculate a moving average for remaining periods. </w:t>
      </w:r>
    </w:p>
    <w:p w:rsidR="007A59AE" w:rsidRPr="007A59AE" w:rsidRDefault="007A59AE" w:rsidP="007A59AE">
      <w:pPr>
        <w:pStyle w:val="ListParagraph"/>
        <w:numPr>
          <w:ilvl w:val="0"/>
          <w:numId w:val="17"/>
        </w:numPr>
        <w:jc w:val="both"/>
        <w:rPr>
          <w:rFonts w:ascii="Arial" w:hAnsi="Arial" w:cs="Arial"/>
          <w:sz w:val="20"/>
          <w:szCs w:val="20"/>
        </w:rPr>
      </w:pPr>
      <w:r w:rsidRPr="007A59AE">
        <w:rPr>
          <w:rFonts w:ascii="Arial" w:hAnsi="Arial" w:cs="Arial"/>
          <w:sz w:val="20"/>
          <w:szCs w:val="20"/>
        </w:rPr>
        <w:t>The route seasonality trend was then applied to the total usage of FY17, FY18 and FY19 to calculate the period on period trend.</w:t>
      </w:r>
    </w:p>
    <w:p w:rsidR="007A59AE" w:rsidRDefault="007A59AE" w:rsidP="007A59AE">
      <w:pPr>
        <w:pStyle w:val="ListParagraph"/>
        <w:numPr>
          <w:ilvl w:val="0"/>
          <w:numId w:val="17"/>
        </w:numPr>
        <w:jc w:val="both"/>
        <w:rPr>
          <w:rFonts w:ascii="Arial" w:hAnsi="Arial" w:cs="Arial"/>
          <w:sz w:val="20"/>
          <w:szCs w:val="20"/>
        </w:rPr>
      </w:pPr>
      <w:r w:rsidRPr="007A59AE">
        <w:rPr>
          <w:rFonts w:ascii="Arial" w:hAnsi="Arial" w:cs="Arial"/>
          <w:sz w:val="20"/>
          <w:szCs w:val="20"/>
        </w:rPr>
        <w:t>This was applied to all modelled as well as non-modelled sites.</w:t>
      </w:r>
    </w:p>
    <w:p w:rsidR="007A59AE" w:rsidRPr="007A59AE" w:rsidRDefault="009E71CF" w:rsidP="007A59AE">
      <w:pPr>
        <w:jc w:val="both"/>
        <w:rPr>
          <w:rFonts w:ascii="Arial" w:hAnsi="Arial" w:cs="Arial"/>
          <w:b/>
          <w:sz w:val="20"/>
          <w:szCs w:val="20"/>
          <w:u w:val="single"/>
        </w:rPr>
      </w:pPr>
      <w:r>
        <w:rPr>
          <w:rFonts w:ascii="Arial" w:hAnsi="Arial" w:cs="Arial"/>
          <w:b/>
          <w:sz w:val="20"/>
          <w:szCs w:val="20"/>
          <w:u w:val="single"/>
        </w:rPr>
        <w:t>Rates</w:t>
      </w:r>
    </w:p>
    <w:p w:rsidR="007A59AE" w:rsidRDefault="002E15A1" w:rsidP="007A59AE">
      <w:pPr>
        <w:jc w:val="both"/>
        <w:rPr>
          <w:rFonts w:ascii="Arial" w:hAnsi="Arial" w:cs="Arial"/>
          <w:sz w:val="20"/>
          <w:szCs w:val="20"/>
        </w:rPr>
      </w:pPr>
      <w:r>
        <w:rPr>
          <w:rFonts w:ascii="Arial" w:hAnsi="Arial" w:cs="Arial"/>
          <w:sz w:val="20"/>
          <w:szCs w:val="20"/>
        </w:rPr>
        <w:t>The tariff that will be charged out to the routes has been fixed from FY16 so to keep the routes neutral from rate risk.</w:t>
      </w:r>
      <w:r w:rsidR="00FA7171">
        <w:rPr>
          <w:rFonts w:ascii="Arial" w:hAnsi="Arial" w:cs="Arial"/>
          <w:sz w:val="20"/>
          <w:szCs w:val="20"/>
        </w:rPr>
        <w:t xml:space="preserve"> A large</w:t>
      </w:r>
      <w:r>
        <w:rPr>
          <w:rFonts w:ascii="Arial" w:hAnsi="Arial" w:cs="Arial"/>
          <w:sz w:val="20"/>
          <w:szCs w:val="20"/>
        </w:rPr>
        <w:t xml:space="preserve"> proportion of the energy cost has been locked in via hedging and so the remaining variable costs relate to the levies and through-charging relating to government policy. As this is not something the Routes (or, indeed, Network Rail) can control thi</w:t>
      </w:r>
      <w:r w:rsidR="009E71CF">
        <w:rPr>
          <w:rFonts w:ascii="Arial" w:hAnsi="Arial" w:cs="Arial"/>
          <w:sz w:val="20"/>
          <w:szCs w:val="20"/>
        </w:rPr>
        <w:t xml:space="preserve">s has been kept centrally. There is currently </w:t>
      </w:r>
      <w:proofErr w:type="gramStart"/>
      <w:r w:rsidR="009E71CF">
        <w:rPr>
          <w:rFonts w:ascii="Arial" w:hAnsi="Arial" w:cs="Arial"/>
          <w:sz w:val="20"/>
          <w:szCs w:val="20"/>
        </w:rPr>
        <w:t>work</w:t>
      </w:r>
      <w:proofErr w:type="gramEnd"/>
      <w:r w:rsidR="009E71CF">
        <w:rPr>
          <w:rFonts w:ascii="Arial" w:hAnsi="Arial" w:cs="Arial"/>
          <w:sz w:val="20"/>
          <w:szCs w:val="20"/>
        </w:rPr>
        <w:t xml:space="preserve"> under way to quantify this rate risk and remove from Network Rail’s controllable costs base-line.</w:t>
      </w:r>
    </w:p>
    <w:p w:rsidR="009E71CF" w:rsidRDefault="009E71CF" w:rsidP="007A59AE">
      <w:pPr>
        <w:jc w:val="both"/>
        <w:rPr>
          <w:rFonts w:ascii="Arial" w:hAnsi="Arial" w:cs="Arial"/>
          <w:b/>
          <w:sz w:val="20"/>
          <w:szCs w:val="20"/>
          <w:u w:val="single"/>
        </w:rPr>
      </w:pPr>
      <w:r w:rsidRPr="009E71CF">
        <w:rPr>
          <w:rFonts w:ascii="Arial" w:hAnsi="Arial" w:cs="Arial"/>
          <w:b/>
          <w:sz w:val="20"/>
          <w:szCs w:val="20"/>
          <w:u w:val="single"/>
        </w:rPr>
        <w:t>Water</w:t>
      </w:r>
    </w:p>
    <w:p w:rsidR="009E71CF" w:rsidRPr="009E71CF" w:rsidRDefault="009E71CF" w:rsidP="007A59AE">
      <w:pPr>
        <w:jc w:val="both"/>
        <w:rPr>
          <w:rFonts w:ascii="Arial" w:hAnsi="Arial" w:cs="Arial"/>
          <w:sz w:val="20"/>
          <w:szCs w:val="20"/>
        </w:rPr>
      </w:pPr>
      <w:r>
        <w:rPr>
          <w:rFonts w:ascii="Arial" w:hAnsi="Arial" w:cs="Arial"/>
          <w:sz w:val="20"/>
          <w:szCs w:val="20"/>
        </w:rPr>
        <w:t>As consumption data from water is unreliable, this element will just be apportioned on cost as per FY16 - with the same efficiencies applied as Gas and Electricity. It is expected that contracting strategy surrounding water will help NR realise significant efficiencies here which will be passed onto the routes.</w:t>
      </w:r>
    </w:p>
    <w:p w:rsidR="009E71CF" w:rsidRDefault="009E71CF" w:rsidP="007A59AE">
      <w:pPr>
        <w:jc w:val="both"/>
        <w:rPr>
          <w:rFonts w:ascii="Arial" w:hAnsi="Arial" w:cs="Arial"/>
          <w:b/>
          <w:sz w:val="20"/>
          <w:szCs w:val="20"/>
          <w:u w:val="single"/>
        </w:rPr>
      </w:pPr>
      <w:r w:rsidRPr="009E71CF">
        <w:rPr>
          <w:rFonts w:ascii="Arial" w:hAnsi="Arial" w:cs="Arial"/>
          <w:b/>
          <w:sz w:val="20"/>
          <w:szCs w:val="20"/>
          <w:u w:val="single"/>
        </w:rPr>
        <w:t>Income</w:t>
      </w:r>
      <w:r w:rsidR="00165984">
        <w:rPr>
          <w:rFonts w:ascii="Arial" w:hAnsi="Arial" w:cs="Arial"/>
          <w:b/>
          <w:sz w:val="20"/>
          <w:szCs w:val="20"/>
          <w:u w:val="single"/>
        </w:rPr>
        <w:t xml:space="preserve"> &amp; Non Consumption</w:t>
      </w:r>
    </w:p>
    <w:p w:rsidR="009E71CF" w:rsidRDefault="009E71CF" w:rsidP="007A59AE">
      <w:pPr>
        <w:jc w:val="both"/>
        <w:rPr>
          <w:rFonts w:ascii="Arial" w:hAnsi="Arial" w:cs="Arial"/>
          <w:sz w:val="20"/>
          <w:szCs w:val="20"/>
        </w:rPr>
      </w:pPr>
      <w:r>
        <w:rPr>
          <w:rFonts w:ascii="Arial" w:hAnsi="Arial" w:cs="Arial"/>
          <w:sz w:val="20"/>
          <w:szCs w:val="20"/>
        </w:rPr>
        <w:t>Income</w:t>
      </w:r>
      <w:r w:rsidR="00165984">
        <w:rPr>
          <w:rFonts w:ascii="Arial" w:hAnsi="Arial" w:cs="Arial"/>
          <w:sz w:val="20"/>
          <w:szCs w:val="20"/>
        </w:rPr>
        <w:t xml:space="preserve"> &amp; Non Consumption</w:t>
      </w:r>
      <w:r>
        <w:rPr>
          <w:rFonts w:ascii="Arial" w:hAnsi="Arial" w:cs="Arial"/>
          <w:sz w:val="20"/>
          <w:szCs w:val="20"/>
        </w:rPr>
        <w:t xml:space="preserve"> is currently made up of:</w:t>
      </w:r>
    </w:p>
    <w:p w:rsidR="009E71CF" w:rsidRDefault="009E71CF" w:rsidP="009E71CF">
      <w:pPr>
        <w:pStyle w:val="ListParagraph"/>
        <w:numPr>
          <w:ilvl w:val="0"/>
          <w:numId w:val="17"/>
        </w:numPr>
        <w:jc w:val="both"/>
        <w:rPr>
          <w:rFonts w:ascii="Arial" w:hAnsi="Arial" w:cs="Arial"/>
          <w:sz w:val="20"/>
          <w:szCs w:val="20"/>
        </w:rPr>
      </w:pPr>
      <w:r>
        <w:rPr>
          <w:rFonts w:ascii="Arial" w:hAnsi="Arial" w:cs="Arial"/>
          <w:sz w:val="20"/>
          <w:szCs w:val="20"/>
        </w:rPr>
        <w:t>The net of on-charging (NR paying operators for using their power supply) and off-charging (operators using NR’s power supply)</w:t>
      </w:r>
    </w:p>
    <w:p w:rsidR="009E71CF" w:rsidRDefault="009E71CF" w:rsidP="009E71CF">
      <w:pPr>
        <w:pStyle w:val="ListParagraph"/>
        <w:numPr>
          <w:ilvl w:val="0"/>
          <w:numId w:val="17"/>
        </w:numPr>
        <w:jc w:val="both"/>
        <w:rPr>
          <w:rFonts w:ascii="Arial" w:hAnsi="Arial" w:cs="Arial"/>
          <w:sz w:val="20"/>
          <w:szCs w:val="20"/>
        </w:rPr>
      </w:pPr>
      <w:r>
        <w:rPr>
          <w:rFonts w:ascii="Arial" w:hAnsi="Arial" w:cs="Arial"/>
          <w:sz w:val="20"/>
          <w:szCs w:val="20"/>
        </w:rPr>
        <w:t>Tennant billing at stations</w:t>
      </w:r>
    </w:p>
    <w:p w:rsidR="009E71CF" w:rsidRDefault="009E71CF" w:rsidP="009E71CF">
      <w:pPr>
        <w:pStyle w:val="ListParagraph"/>
        <w:numPr>
          <w:ilvl w:val="0"/>
          <w:numId w:val="17"/>
        </w:numPr>
        <w:jc w:val="both"/>
        <w:rPr>
          <w:rFonts w:ascii="Arial" w:hAnsi="Arial" w:cs="Arial"/>
          <w:sz w:val="20"/>
          <w:szCs w:val="20"/>
        </w:rPr>
      </w:pPr>
      <w:r>
        <w:rPr>
          <w:rFonts w:ascii="Arial" w:hAnsi="Arial" w:cs="Arial"/>
          <w:sz w:val="20"/>
          <w:szCs w:val="20"/>
        </w:rPr>
        <w:t>Corporate charges</w:t>
      </w:r>
    </w:p>
    <w:p w:rsidR="00165984" w:rsidRDefault="00165984" w:rsidP="009E71CF">
      <w:pPr>
        <w:pStyle w:val="ListParagraph"/>
        <w:numPr>
          <w:ilvl w:val="0"/>
          <w:numId w:val="17"/>
        </w:numPr>
        <w:jc w:val="both"/>
        <w:rPr>
          <w:rFonts w:ascii="Arial" w:hAnsi="Arial" w:cs="Arial"/>
          <w:sz w:val="20"/>
          <w:szCs w:val="20"/>
        </w:rPr>
      </w:pPr>
      <w:r>
        <w:rPr>
          <w:rFonts w:ascii="Arial" w:hAnsi="Arial" w:cs="Arial"/>
          <w:sz w:val="20"/>
          <w:szCs w:val="20"/>
        </w:rPr>
        <w:t>The Carbon Reduction Charge</w:t>
      </w:r>
    </w:p>
    <w:p w:rsidR="009E71CF" w:rsidRDefault="009E71CF" w:rsidP="009E71CF">
      <w:pPr>
        <w:jc w:val="both"/>
        <w:rPr>
          <w:rFonts w:ascii="Arial" w:hAnsi="Arial" w:cs="Arial"/>
          <w:sz w:val="20"/>
          <w:szCs w:val="20"/>
        </w:rPr>
      </w:pPr>
      <w:r>
        <w:rPr>
          <w:rFonts w:ascii="Arial" w:hAnsi="Arial" w:cs="Arial"/>
          <w:sz w:val="20"/>
          <w:szCs w:val="20"/>
        </w:rPr>
        <w:t xml:space="preserve">This will continue to be billed by Energy Management as it currently is (see </w:t>
      </w:r>
      <w:proofErr w:type="spellStart"/>
      <w:r>
        <w:rPr>
          <w:rFonts w:ascii="Arial" w:hAnsi="Arial" w:cs="Arial"/>
          <w:sz w:val="20"/>
          <w:szCs w:val="20"/>
        </w:rPr>
        <w:t>Offcharging</w:t>
      </w:r>
      <w:proofErr w:type="spellEnd"/>
      <w:r>
        <w:rPr>
          <w:rFonts w:ascii="Arial" w:hAnsi="Arial" w:cs="Arial"/>
          <w:sz w:val="20"/>
          <w:szCs w:val="20"/>
        </w:rPr>
        <w:t>), and the budget assumes the current rate continues to happen in the routes that they already do.</w:t>
      </w:r>
    </w:p>
    <w:p w:rsidR="0086304E" w:rsidRPr="009E71CF" w:rsidRDefault="0086304E" w:rsidP="009E71CF">
      <w:pPr>
        <w:jc w:val="both"/>
        <w:rPr>
          <w:rFonts w:ascii="Arial" w:hAnsi="Arial" w:cs="Arial"/>
          <w:sz w:val="20"/>
          <w:szCs w:val="20"/>
        </w:rPr>
      </w:pPr>
      <w:r>
        <w:rPr>
          <w:rFonts w:ascii="Arial" w:hAnsi="Arial" w:cs="Arial"/>
          <w:sz w:val="20"/>
          <w:szCs w:val="20"/>
        </w:rPr>
        <w:t>Therefore routes need not do any new activity to meet budget – provided existing consumption does not decrease.</w:t>
      </w:r>
    </w:p>
    <w:p w:rsidR="007A59AE" w:rsidRDefault="007A59AE" w:rsidP="007A59AE">
      <w:pPr>
        <w:jc w:val="both"/>
        <w:rPr>
          <w:rFonts w:ascii="Arial" w:hAnsi="Arial" w:cs="Arial"/>
          <w:b/>
          <w:sz w:val="20"/>
          <w:szCs w:val="20"/>
          <w:u w:val="single"/>
        </w:rPr>
      </w:pPr>
      <w:r>
        <w:rPr>
          <w:rFonts w:ascii="Arial" w:hAnsi="Arial" w:cs="Arial"/>
          <w:b/>
          <w:sz w:val="20"/>
          <w:szCs w:val="20"/>
          <w:u w:val="single"/>
        </w:rPr>
        <w:t>Efficiencies</w:t>
      </w:r>
    </w:p>
    <w:p w:rsidR="00B3772C" w:rsidRDefault="007A59AE" w:rsidP="007A59AE">
      <w:pPr>
        <w:jc w:val="both"/>
        <w:rPr>
          <w:rFonts w:ascii="Arial" w:hAnsi="Arial" w:cs="Arial"/>
          <w:sz w:val="20"/>
          <w:szCs w:val="20"/>
        </w:rPr>
      </w:pPr>
      <w:r>
        <w:rPr>
          <w:rFonts w:ascii="Arial" w:hAnsi="Arial" w:cs="Arial"/>
          <w:sz w:val="20"/>
          <w:szCs w:val="20"/>
        </w:rPr>
        <w:t>As previously discussed, the ORR has set NR a challenging target (</w:t>
      </w:r>
      <w:r w:rsidRPr="00906B57">
        <w:rPr>
          <w:rFonts w:ascii="Arial" w:hAnsi="Arial" w:cs="Arial"/>
          <w:sz w:val="20"/>
          <w:szCs w:val="20"/>
        </w:rPr>
        <w:t>11.19% by the end of CP5</w:t>
      </w:r>
      <w:r>
        <w:rPr>
          <w:rFonts w:ascii="Arial" w:hAnsi="Arial" w:cs="Arial"/>
          <w:sz w:val="20"/>
          <w:szCs w:val="20"/>
        </w:rPr>
        <w:t>) and the year 2 target is already being missed</w:t>
      </w:r>
      <w:r w:rsidRPr="00906B57">
        <w:rPr>
          <w:rFonts w:ascii="Arial" w:hAnsi="Arial" w:cs="Arial"/>
          <w:sz w:val="20"/>
          <w:szCs w:val="20"/>
        </w:rPr>
        <w:t>.</w:t>
      </w:r>
      <w:r>
        <w:rPr>
          <w:rFonts w:ascii="Arial" w:hAnsi="Arial" w:cs="Arial"/>
          <w:sz w:val="20"/>
          <w:szCs w:val="20"/>
        </w:rPr>
        <w:t xml:space="preserve"> This puts a significant burden on the Routes to reduce efficiencies.</w:t>
      </w:r>
    </w:p>
    <w:p w:rsidR="007A59AE" w:rsidRDefault="007A59AE" w:rsidP="007A59AE">
      <w:pPr>
        <w:jc w:val="both"/>
        <w:rPr>
          <w:rFonts w:ascii="Arial" w:hAnsi="Arial" w:cs="Arial"/>
          <w:sz w:val="20"/>
          <w:szCs w:val="20"/>
        </w:rPr>
      </w:pPr>
      <w:r>
        <w:rPr>
          <w:rFonts w:ascii="Arial" w:hAnsi="Arial" w:cs="Arial"/>
          <w:sz w:val="20"/>
          <w:szCs w:val="20"/>
        </w:rPr>
        <w:t>However the following principles will apply to aid efficiencies:</w:t>
      </w:r>
    </w:p>
    <w:p w:rsidR="00645A9D" w:rsidRPr="00645A9D" w:rsidRDefault="00645A9D" w:rsidP="00645A9D">
      <w:pPr>
        <w:pStyle w:val="ListParagraph"/>
        <w:numPr>
          <w:ilvl w:val="0"/>
          <w:numId w:val="18"/>
        </w:numPr>
        <w:jc w:val="both"/>
        <w:rPr>
          <w:rFonts w:ascii="Arial" w:hAnsi="Arial" w:cs="Arial"/>
          <w:sz w:val="20"/>
          <w:szCs w:val="20"/>
        </w:rPr>
      </w:pPr>
      <w:r w:rsidRPr="00645A9D">
        <w:rPr>
          <w:rFonts w:ascii="Arial" w:hAnsi="Arial" w:cs="Arial"/>
          <w:sz w:val="20"/>
          <w:szCs w:val="20"/>
        </w:rPr>
        <w:t xml:space="preserve">A consistent efficiency challenge is to be set across all routes as all routes are believed to be able to meet the targets even though some may be more advanced in their plans than </w:t>
      </w:r>
      <w:r w:rsidR="00B3772C" w:rsidRPr="00645A9D">
        <w:rPr>
          <w:rFonts w:ascii="Arial" w:hAnsi="Arial" w:cs="Arial"/>
          <w:sz w:val="20"/>
          <w:szCs w:val="20"/>
        </w:rPr>
        <w:t>others</w:t>
      </w:r>
      <w:r w:rsidR="00B3772C">
        <w:rPr>
          <w:rFonts w:ascii="Arial" w:hAnsi="Arial" w:cs="Arial"/>
          <w:sz w:val="20"/>
          <w:szCs w:val="20"/>
        </w:rPr>
        <w:t>. Route</w:t>
      </w:r>
      <w:r w:rsidR="00D9433C">
        <w:rPr>
          <w:rFonts w:ascii="Arial" w:hAnsi="Arial" w:cs="Arial"/>
          <w:sz w:val="20"/>
          <w:szCs w:val="20"/>
        </w:rPr>
        <w:t xml:space="preserve"> action plans have been provided to each route by </w:t>
      </w:r>
      <w:r w:rsidRPr="00645A9D">
        <w:rPr>
          <w:rFonts w:ascii="Arial" w:hAnsi="Arial" w:cs="Arial"/>
          <w:sz w:val="20"/>
          <w:szCs w:val="20"/>
        </w:rPr>
        <w:t xml:space="preserve">Wendi Wheeler </w:t>
      </w:r>
      <w:r w:rsidR="00D9433C">
        <w:rPr>
          <w:rFonts w:ascii="Arial" w:hAnsi="Arial" w:cs="Arial"/>
          <w:sz w:val="20"/>
          <w:szCs w:val="20"/>
        </w:rPr>
        <w:t xml:space="preserve">following the first round of </w:t>
      </w:r>
      <w:r w:rsidR="00D87038">
        <w:rPr>
          <w:rFonts w:ascii="Arial" w:hAnsi="Arial" w:cs="Arial"/>
          <w:sz w:val="20"/>
          <w:szCs w:val="20"/>
        </w:rPr>
        <w:t>O</w:t>
      </w:r>
      <w:r w:rsidR="00D9433C">
        <w:rPr>
          <w:rFonts w:ascii="Arial" w:hAnsi="Arial" w:cs="Arial"/>
          <w:sz w:val="20"/>
          <w:szCs w:val="20"/>
        </w:rPr>
        <w:t xml:space="preserve">pportunities </w:t>
      </w:r>
      <w:r w:rsidR="00D87038">
        <w:rPr>
          <w:rFonts w:ascii="Arial" w:hAnsi="Arial" w:cs="Arial"/>
          <w:sz w:val="20"/>
          <w:szCs w:val="20"/>
        </w:rPr>
        <w:t>W</w:t>
      </w:r>
      <w:r w:rsidR="00D9433C">
        <w:rPr>
          <w:rFonts w:ascii="Arial" w:hAnsi="Arial" w:cs="Arial"/>
          <w:sz w:val="20"/>
          <w:szCs w:val="20"/>
        </w:rPr>
        <w:t>orkshops</w:t>
      </w:r>
      <w:r w:rsidR="00D87038">
        <w:rPr>
          <w:rFonts w:ascii="Arial" w:hAnsi="Arial" w:cs="Arial"/>
          <w:sz w:val="20"/>
          <w:szCs w:val="20"/>
        </w:rPr>
        <w:t xml:space="preserve">, and these show a full list of opportunities categorised </w:t>
      </w:r>
      <w:r w:rsidRPr="00645A9D">
        <w:rPr>
          <w:rFonts w:ascii="Arial" w:hAnsi="Arial" w:cs="Arial"/>
          <w:sz w:val="20"/>
          <w:szCs w:val="20"/>
        </w:rPr>
        <w:t xml:space="preserve">as behavioural, </w:t>
      </w:r>
      <w:proofErr w:type="spellStart"/>
      <w:r w:rsidR="00D87038">
        <w:rPr>
          <w:rFonts w:ascii="Arial" w:hAnsi="Arial" w:cs="Arial"/>
          <w:sz w:val="20"/>
          <w:szCs w:val="20"/>
        </w:rPr>
        <w:t>costed</w:t>
      </w:r>
      <w:proofErr w:type="spellEnd"/>
      <w:r w:rsidR="00D87038">
        <w:rPr>
          <w:rFonts w:ascii="Arial" w:hAnsi="Arial" w:cs="Arial"/>
          <w:sz w:val="20"/>
          <w:szCs w:val="20"/>
        </w:rPr>
        <w:t xml:space="preserve"> (i.e. </w:t>
      </w:r>
      <w:r w:rsidRPr="00645A9D">
        <w:rPr>
          <w:rFonts w:ascii="Arial" w:hAnsi="Arial" w:cs="Arial"/>
          <w:sz w:val="20"/>
          <w:szCs w:val="20"/>
        </w:rPr>
        <w:t>investment required</w:t>
      </w:r>
      <w:r w:rsidR="00D87038">
        <w:rPr>
          <w:rFonts w:ascii="Arial" w:hAnsi="Arial" w:cs="Arial"/>
          <w:sz w:val="20"/>
          <w:szCs w:val="20"/>
        </w:rPr>
        <w:t>)</w:t>
      </w:r>
      <w:r w:rsidRPr="00645A9D">
        <w:rPr>
          <w:rFonts w:ascii="Arial" w:hAnsi="Arial" w:cs="Arial"/>
          <w:sz w:val="20"/>
          <w:szCs w:val="20"/>
        </w:rPr>
        <w:t xml:space="preserve"> and </w:t>
      </w:r>
      <w:r w:rsidR="00D87038">
        <w:rPr>
          <w:rFonts w:ascii="Arial" w:hAnsi="Arial" w:cs="Arial"/>
          <w:sz w:val="20"/>
          <w:szCs w:val="20"/>
        </w:rPr>
        <w:t xml:space="preserve"> Analysis (desktop energy management) in order</w:t>
      </w:r>
      <w:r w:rsidRPr="00645A9D">
        <w:rPr>
          <w:rFonts w:ascii="Arial" w:hAnsi="Arial" w:cs="Arial"/>
          <w:sz w:val="20"/>
          <w:szCs w:val="20"/>
        </w:rPr>
        <w:t xml:space="preserve"> to support this.</w:t>
      </w:r>
    </w:p>
    <w:p w:rsidR="00645A9D" w:rsidRPr="00645A9D" w:rsidRDefault="00645A9D" w:rsidP="00645A9D">
      <w:pPr>
        <w:pStyle w:val="ListParagraph"/>
        <w:numPr>
          <w:ilvl w:val="0"/>
          <w:numId w:val="18"/>
        </w:numPr>
        <w:jc w:val="both"/>
        <w:rPr>
          <w:rFonts w:ascii="Arial" w:hAnsi="Arial" w:cs="Arial"/>
          <w:sz w:val="20"/>
          <w:szCs w:val="20"/>
        </w:rPr>
      </w:pPr>
      <w:r w:rsidRPr="00645A9D">
        <w:rPr>
          <w:rFonts w:ascii="Arial" w:hAnsi="Arial" w:cs="Arial"/>
          <w:sz w:val="20"/>
          <w:szCs w:val="20"/>
        </w:rPr>
        <w:lastRenderedPageBreak/>
        <w:t xml:space="preserve">The targets will be devolved at route level and then the route can split this further as they see fit – the model that has been created allows for </w:t>
      </w:r>
      <w:proofErr w:type="spellStart"/>
      <w:r w:rsidRPr="00645A9D">
        <w:rPr>
          <w:rFonts w:ascii="Arial" w:hAnsi="Arial" w:cs="Arial"/>
          <w:sz w:val="20"/>
          <w:szCs w:val="20"/>
        </w:rPr>
        <w:t>tradeoffs</w:t>
      </w:r>
      <w:proofErr w:type="spellEnd"/>
      <w:r w:rsidRPr="00645A9D">
        <w:rPr>
          <w:rFonts w:ascii="Arial" w:hAnsi="Arial" w:cs="Arial"/>
          <w:sz w:val="20"/>
          <w:szCs w:val="20"/>
        </w:rPr>
        <w:t xml:space="preserve"> at meter level.</w:t>
      </w:r>
      <w:r w:rsidR="00D87038">
        <w:rPr>
          <w:rFonts w:ascii="Arial" w:hAnsi="Arial" w:cs="Arial"/>
          <w:sz w:val="20"/>
          <w:szCs w:val="20"/>
        </w:rPr>
        <w:t xml:space="preserve">  It is advised that this is done in collaboration with the Energy Management Team in order to assign realistic and achievable targets at individual meter level.</w:t>
      </w:r>
    </w:p>
    <w:p w:rsidR="00B3772C" w:rsidRDefault="00645A9D" w:rsidP="00B3772C">
      <w:pPr>
        <w:pStyle w:val="ListParagraph"/>
        <w:numPr>
          <w:ilvl w:val="0"/>
          <w:numId w:val="18"/>
        </w:numPr>
        <w:jc w:val="both"/>
        <w:rPr>
          <w:rFonts w:ascii="Arial" w:hAnsi="Arial" w:cs="Arial"/>
          <w:sz w:val="20"/>
          <w:szCs w:val="20"/>
        </w:rPr>
      </w:pPr>
      <w:r w:rsidRPr="00645A9D">
        <w:rPr>
          <w:rFonts w:ascii="Arial" w:hAnsi="Arial" w:cs="Arial"/>
          <w:sz w:val="20"/>
          <w:szCs w:val="20"/>
        </w:rPr>
        <w:t>There is an overall Network Rail carbon reduction target which must be met, but by giving routes income targets as well, they are not just restricted to consumption reduction.</w:t>
      </w:r>
    </w:p>
    <w:p w:rsidR="00B3772C" w:rsidRDefault="00B3772C" w:rsidP="009E71CF">
      <w:pPr>
        <w:jc w:val="both"/>
        <w:rPr>
          <w:rFonts w:ascii="Arial" w:hAnsi="Arial" w:cs="Arial"/>
          <w:sz w:val="20"/>
          <w:szCs w:val="20"/>
        </w:rPr>
      </w:pPr>
      <w:r>
        <w:rPr>
          <w:rFonts w:ascii="Arial" w:hAnsi="Arial" w:cs="Arial"/>
          <w:sz w:val="20"/>
          <w:szCs w:val="20"/>
        </w:rPr>
        <w:t>What is being asked of the routes is a challenge but not a step change. The efficiency profile being given is that which leaves the routes with the highest possible exit position in CP5 with the funding available.</w:t>
      </w:r>
    </w:p>
    <w:p w:rsidR="00B3772C" w:rsidRDefault="00B3772C" w:rsidP="009E71CF">
      <w:pPr>
        <w:jc w:val="both"/>
        <w:rPr>
          <w:rFonts w:ascii="Arial" w:hAnsi="Arial" w:cs="Arial"/>
          <w:sz w:val="20"/>
          <w:szCs w:val="20"/>
        </w:rPr>
      </w:pPr>
      <w:r>
        <w:rPr>
          <w:rFonts w:ascii="Arial" w:hAnsi="Arial" w:cs="Arial"/>
          <w:sz w:val="20"/>
          <w:szCs w:val="20"/>
        </w:rPr>
        <w:t xml:space="preserve">The energy consumption model takes a longer set of periodic values than the </w:t>
      </w:r>
      <w:r w:rsidR="002E15A1">
        <w:rPr>
          <w:rFonts w:ascii="Arial" w:hAnsi="Arial" w:cs="Arial"/>
          <w:sz w:val="20"/>
          <w:szCs w:val="20"/>
        </w:rPr>
        <w:t>FY16</w:t>
      </w:r>
      <w:r w:rsidR="00AB6742">
        <w:rPr>
          <w:rFonts w:ascii="Arial" w:hAnsi="Arial" w:cs="Arial"/>
          <w:sz w:val="20"/>
          <w:szCs w:val="20"/>
        </w:rPr>
        <w:t xml:space="preserve"> budget did and hence there is more of an allowance for cold weather in the baseline. If, however, the mild winter of </w:t>
      </w:r>
      <w:r w:rsidR="002E15A1">
        <w:rPr>
          <w:rFonts w:ascii="Arial" w:hAnsi="Arial" w:cs="Arial"/>
          <w:sz w:val="20"/>
          <w:szCs w:val="20"/>
        </w:rPr>
        <w:t>FY16</w:t>
      </w:r>
      <w:r w:rsidR="00AB6742">
        <w:rPr>
          <w:rFonts w:ascii="Arial" w:hAnsi="Arial" w:cs="Arial"/>
          <w:sz w:val="20"/>
          <w:szCs w:val="20"/>
        </w:rPr>
        <w:t xml:space="preserve"> continues this will represent </w:t>
      </w:r>
      <w:r w:rsidR="00041C2A">
        <w:rPr>
          <w:rFonts w:ascii="Arial" w:hAnsi="Arial" w:cs="Arial"/>
          <w:sz w:val="20"/>
          <w:szCs w:val="20"/>
        </w:rPr>
        <w:t>a large part of the efficiency challenge.</w:t>
      </w:r>
    </w:p>
    <w:p w:rsidR="002E15A1" w:rsidRDefault="002E15A1" w:rsidP="009E71CF">
      <w:pPr>
        <w:jc w:val="both"/>
        <w:rPr>
          <w:rFonts w:ascii="Arial" w:hAnsi="Arial" w:cs="Arial"/>
          <w:sz w:val="20"/>
          <w:szCs w:val="20"/>
        </w:rPr>
      </w:pPr>
      <w:r>
        <w:rPr>
          <w:rFonts w:ascii="Arial" w:hAnsi="Arial" w:cs="Arial"/>
          <w:sz w:val="20"/>
          <w:szCs w:val="20"/>
        </w:rPr>
        <w:t>Note – this target is on the above the line consumption – however, this gap can also be closed by reducing NTFT costs or increasing income. The reason the focus is on above-the-line consumption is to keep focus on the ORR targets.</w:t>
      </w:r>
    </w:p>
    <w:p w:rsidR="00AB6742" w:rsidRDefault="002E15A1" w:rsidP="009E71CF">
      <w:pPr>
        <w:jc w:val="both"/>
        <w:rPr>
          <w:rFonts w:ascii="Arial" w:hAnsi="Arial" w:cs="Arial"/>
          <w:sz w:val="20"/>
          <w:szCs w:val="20"/>
        </w:rPr>
      </w:pPr>
      <w:r>
        <w:rPr>
          <w:rFonts w:ascii="Arial" w:hAnsi="Arial" w:cs="Arial"/>
          <w:sz w:val="20"/>
          <w:szCs w:val="20"/>
        </w:rPr>
        <w:t>These are the following efficiencies that it is believed that can be realised – from easiest to realise (low hanging fruit) to hardest:</w:t>
      </w:r>
    </w:p>
    <w:p w:rsidR="002E15A1" w:rsidRPr="009E71CF" w:rsidRDefault="002E15A1" w:rsidP="009E71CF">
      <w:pPr>
        <w:pStyle w:val="ListParagraph"/>
        <w:numPr>
          <w:ilvl w:val="0"/>
          <w:numId w:val="20"/>
        </w:numPr>
        <w:spacing w:after="0" w:line="240" w:lineRule="auto"/>
        <w:jc w:val="both"/>
        <w:rPr>
          <w:rFonts w:ascii="Arial" w:hAnsi="Arial" w:cs="Arial"/>
          <w:sz w:val="20"/>
          <w:szCs w:val="20"/>
        </w:rPr>
      </w:pPr>
      <w:r w:rsidRPr="009E71CF">
        <w:rPr>
          <w:rFonts w:ascii="Arial" w:hAnsi="Arial" w:cs="Arial"/>
          <w:sz w:val="20"/>
          <w:szCs w:val="20"/>
        </w:rPr>
        <w:t>Income target assumes no extra billing to operators &amp; third parties – routes can identify opportunities</w:t>
      </w:r>
    </w:p>
    <w:p w:rsidR="002E15A1" w:rsidRPr="009E71CF" w:rsidRDefault="002E15A1" w:rsidP="009E71CF">
      <w:pPr>
        <w:pStyle w:val="ListParagraph"/>
        <w:numPr>
          <w:ilvl w:val="0"/>
          <w:numId w:val="20"/>
        </w:numPr>
        <w:spacing w:after="0" w:line="240" w:lineRule="auto"/>
        <w:jc w:val="both"/>
        <w:rPr>
          <w:rFonts w:ascii="Arial" w:hAnsi="Arial" w:cs="Arial"/>
          <w:sz w:val="20"/>
          <w:szCs w:val="20"/>
        </w:rPr>
      </w:pPr>
      <w:r w:rsidRPr="009E71CF">
        <w:rPr>
          <w:rFonts w:ascii="Arial" w:hAnsi="Arial" w:cs="Arial"/>
          <w:sz w:val="20"/>
          <w:szCs w:val="20"/>
        </w:rPr>
        <w:t>Income target assumes no charges to IP; IP willing to take charges</w:t>
      </w:r>
    </w:p>
    <w:p w:rsidR="002E15A1" w:rsidRPr="009E71CF" w:rsidRDefault="002E15A1" w:rsidP="009E71CF">
      <w:pPr>
        <w:pStyle w:val="ListParagraph"/>
        <w:numPr>
          <w:ilvl w:val="0"/>
          <w:numId w:val="20"/>
        </w:numPr>
        <w:spacing w:after="0" w:line="240" w:lineRule="auto"/>
        <w:jc w:val="both"/>
        <w:rPr>
          <w:rFonts w:ascii="Arial" w:hAnsi="Arial" w:cs="Arial"/>
          <w:sz w:val="20"/>
          <w:szCs w:val="20"/>
        </w:rPr>
      </w:pPr>
      <w:r w:rsidRPr="009E71CF">
        <w:rPr>
          <w:rFonts w:ascii="Arial" w:hAnsi="Arial" w:cs="Arial"/>
          <w:sz w:val="20"/>
          <w:szCs w:val="20"/>
        </w:rPr>
        <w:t>Target doesn’t include any positive action taken in FY16 to reduce consumption</w:t>
      </w:r>
    </w:p>
    <w:p w:rsidR="002E15A1" w:rsidRPr="009E71CF" w:rsidRDefault="002E15A1" w:rsidP="009E71CF">
      <w:pPr>
        <w:pStyle w:val="ListParagraph"/>
        <w:numPr>
          <w:ilvl w:val="0"/>
          <w:numId w:val="20"/>
        </w:numPr>
        <w:spacing w:after="0" w:line="240" w:lineRule="auto"/>
        <w:jc w:val="both"/>
        <w:rPr>
          <w:rFonts w:ascii="Arial" w:hAnsi="Arial" w:cs="Arial"/>
          <w:sz w:val="20"/>
          <w:szCs w:val="20"/>
        </w:rPr>
      </w:pPr>
      <w:r w:rsidRPr="009E71CF">
        <w:rPr>
          <w:rFonts w:ascii="Arial" w:hAnsi="Arial" w:cs="Arial"/>
          <w:sz w:val="20"/>
          <w:szCs w:val="20"/>
        </w:rPr>
        <w:t>Target doesn’t include efficiencies that will appear from previous investment</w:t>
      </w:r>
    </w:p>
    <w:p w:rsidR="002E15A1" w:rsidRPr="009E71CF" w:rsidRDefault="002E15A1" w:rsidP="009E71CF">
      <w:pPr>
        <w:pStyle w:val="ListParagraph"/>
        <w:numPr>
          <w:ilvl w:val="0"/>
          <w:numId w:val="20"/>
        </w:numPr>
        <w:spacing w:after="0" w:line="240" w:lineRule="auto"/>
        <w:jc w:val="both"/>
        <w:rPr>
          <w:rFonts w:ascii="Arial" w:hAnsi="Arial" w:cs="Arial"/>
          <w:sz w:val="20"/>
          <w:szCs w:val="20"/>
        </w:rPr>
      </w:pPr>
      <w:r w:rsidRPr="009E71CF">
        <w:rPr>
          <w:rFonts w:ascii="Arial" w:hAnsi="Arial" w:cs="Arial"/>
          <w:sz w:val="20"/>
          <w:szCs w:val="20"/>
        </w:rPr>
        <w:t>No efficiency target for below the line consumption, we can make savings here and encourage Group to allow it</w:t>
      </w:r>
    </w:p>
    <w:p w:rsidR="002E15A1" w:rsidRPr="009E71CF" w:rsidRDefault="002E15A1" w:rsidP="009E71CF">
      <w:pPr>
        <w:pStyle w:val="ListParagraph"/>
        <w:numPr>
          <w:ilvl w:val="0"/>
          <w:numId w:val="20"/>
        </w:numPr>
        <w:spacing w:after="0" w:line="240" w:lineRule="auto"/>
        <w:jc w:val="both"/>
        <w:rPr>
          <w:rFonts w:ascii="Arial" w:hAnsi="Arial" w:cs="Arial"/>
          <w:sz w:val="20"/>
          <w:szCs w:val="20"/>
        </w:rPr>
      </w:pPr>
      <w:proofErr w:type="spellStart"/>
      <w:r w:rsidRPr="009E71CF">
        <w:rPr>
          <w:rFonts w:ascii="Arial" w:hAnsi="Arial" w:cs="Arial"/>
          <w:sz w:val="20"/>
          <w:szCs w:val="20"/>
        </w:rPr>
        <w:t>EnergyLink</w:t>
      </w:r>
      <w:proofErr w:type="spellEnd"/>
      <w:r w:rsidRPr="009E71CF">
        <w:rPr>
          <w:rFonts w:ascii="Arial" w:hAnsi="Arial" w:cs="Arial"/>
          <w:sz w:val="20"/>
          <w:szCs w:val="20"/>
        </w:rPr>
        <w:t xml:space="preserve"> system will provide decision support, including automated warning on unnecessary consumption </w:t>
      </w:r>
    </w:p>
    <w:p w:rsidR="002E15A1" w:rsidRPr="009E71CF" w:rsidRDefault="002E15A1" w:rsidP="009E71CF">
      <w:pPr>
        <w:pStyle w:val="ListParagraph"/>
        <w:numPr>
          <w:ilvl w:val="0"/>
          <w:numId w:val="20"/>
        </w:numPr>
        <w:spacing w:after="0" w:line="240" w:lineRule="auto"/>
        <w:jc w:val="both"/>
        <w:rPr>
          <w:rFonts w:ascii="Arial" w:hAnsi="Arial" w:cs="Arial"/>
          <w:sz w:val="20"/>
          <w:szCs w:val="20"/>
        </w:rPr>
      </w:pPr>
      <w:r w:rsidRPr="009E71CF">
        <w:rPr>
          <w:rFonts w:ascii="Arial" w:hAnsi="Arial" w:cs="Arial"/>
          <w:sz w:val="20"/>
          <w:szCs w:val="20"/>
        </w:rPr>
        <w:t>Workshops have identified a 16-20% efficiency on consumption overall</w:t>
      </w:r>
    </w:p>
    <w:p w:rsidR="002E15A1" w:rsidRPr="002E15A1" w:rsidRDefault="002E15A1" w:rsidP="009E71CF">
      <w:pPr>
        <w:spacing w:after="0" w:line="240" w:lineRule="auto"/>
        <w:jc w:val="both"/>
        <w:rPr>
          <w:rFonts w:ascii="Arial" w:hAnsi="Arial" w:cs="Arial"/>
          <w:sz w:val="20"/>
          <w:szCs w:val="20"/>
        </w:rPr>
      </w:pPr>
    </w:p>
    <w:p w:rsidR="002E15A1" w:rsidRPr="009E71CF" w:rsidRDefault="002E15A1" w:rsidP="009E71CF">
      <w:pPr>
        <w:pStyle w:val="ListParagraph"/>
        <w:numPr>
          <w:ilvl w:val="0"/>
          <w:numId w:val="20"/>
        </w:numPr>
        <w:spacing w:after="0" w:line="240" w:lineRule="auto"/>
        <w:jc w:val="both"/>
        <w:rPr>
          <w:rFonts w:ascii="Arial" w:hAnsi="Arial" w:cs="Arial"/>
          <w:sz w:val="20"/>
          <w:szCs w:val="20"/>
        </w:rPr>
      </w:pPr>
      <w:r w:rsidRPr="009E71CF">
        <w:rPr>
          <w:rFonts w:ascii="Arial" w:hAnsi="Arial" w:cs="Arial"/>
          <w:sz w:val="20"/>
          <w:szCs w:val="20"/>
        </w:rPr>
        <w:t>However a small number of opportunities identified in the workshops require capital outlay</w:t>
      </w:r>
    </w:p>
    <w:p w:rsidR="002E15A1" w:rsidRPr="009E71CF" w:rsidRDefault="002E15A1" w:rsidP="009E71CF">
      <w:pPr>
        <w:pStyle w:val="ListParagraph"/>
        <w:numPr>
          <w:ilvl w:val="0"/>
          <w:numId w:val="20"/>
        </w:numPr>
        <w:spacing w:after="0" w:line="240" w:lineRule="auto"/>
        <w:jc w:val="both"/>
        <w:rPr>
          <w:rFonts w:ascii="Arial" w:hAnsi="Arial" w:cs="Arial"/>
          <w:sz w:val="20"/>
          <w:szCs w:val="20"/>
        </w:rPr>
      </w:pPr>
      <w:r w:rsidRPr="009E71CF">
        <w:rPr>
          <w:rFonts w:ascii="Arial" w:hAnsi="Arial" w:cs="Arial"/>
          <w:sz w:val="20"/>
          <w:szCs w:val="20"/>
        </w:rPr>
        <w:t>Opportunity to reopen several commercial contracts with operators and third parties</w:t>
      </w:r>
    </w:p>
    <w:p w:rsidR="002E15A1" w:rsidRPr="009E71CF" w:rsidRDefault="002E15A1" w:rsidP="009E71CF">
      <w:pPr>
        <w:pStyle w:val="ListParagraph"/>
        <w:numPr>
          <w:ilvl w:val="0"/>
          <w:numId w:val="20"/>
        </w:numPr>
        <w:spacing w:after="0" w:line="240" w:lineRule="auto"/>
        <w:jc w:val="both"/>
        <w:rPr>
          <w:rFonts w:ascii="Arial" w:hAnsi="Arial" w:cs="Arial"/>
          <w:sz w:val="20"/>
          <w:szCs w:val="20"/>
        </w:rPr>
      </w:pPr>
      <w:r w:rsidRPr="009E71CF">
        <w:rPr>
          <w:rFonts w:ascii="Arial" w:hAnsi="Arial" w:cs="Arial"/>
          <w:sz w:val="20"/>
          <w:szCs w:val="20"/>
        </w:rPr>
        <w:t>Cultural changes to reduce consumption of energy</w:t>
      </w:r>
    </w:p>
    <w:p w:rsidR="002E15A1" w:rsidRPr="009E71CF" w:rsidRDefault="002E15A1" w:rsidP="009E71CF">
      <w:pPr>
        <w:pStyle w:val="ListParagraph"/>
        <w:numPr>
          <w:ilvl w:val="0"/>
          <w:numId w:val="20"/>
        </w:numPr>
        <w:spacing w:after="0" w:line="240" w:lineRule="auto"/>
        <w:jc w:val="both"/>
        <w:rPr>
          <w:rFonts w:ascii="Arial" w:hAnsi="Arial" w:cs="Arial"/>
          <w:sz w:val="20"/>
          <w:szCs w:val="20"/>
        </w:rPr>
      </w:pPr>
      <w:r w:rsidRPr="009E71CF">
        <w:rPr>
          <w:rFonts w:ascii="Arial" w:hAnsi="Arial" w:cs="Arial"/>
          <w:sz w:val="20"/>
          <w:szCs w:val="20"/>
        </w:rPr>
        <w:t>Winters better than the past three year average provide natural efficiencies</w:t>
      </w:r>
    </w:p>
    <w:p w:rsidR="002E15A1" w:rsidRPr="009E71CF" w:rsidRDefault="002E15A1" w:rsidP="009E71CF">
      <w:pPr>
        <w:jc w:val="both"/>
        <w:rPr>
          <w:rFonts w:ascii="Arial" w:hAnsi="Arial" w:cs="Arial"/>
          <w:sz w:val="20"/>
          <w:szCs w:val="20"/>
        </w:rPr>
      </w:pPr>
    </w:p>
    <w:p w:rsidR="00645A9D" w:rsidRDefault="00645A9D" w:rsidP="00645A9D">
      <w:pPr>
        <w:jc w:val="both"/>
        <w:rPr>
          <w:rFonts w:ascii="Arial" w:hAnsi="Arial" w:cs="Arial"/>
          <w:b/>
          <w:sz w:val="20"/>
          <w:szCs w:val="20"/>
          <w:u w:val="single"/>
        </w:rPr>
      </w:pPr>
      <w:r w:rsidRPr="00645A9D">
        <w:rPr>
          <w:rFonts w:ascii="Arial" w:hAnsi="Arial" w:cs="Arial"/>
          <w:b/>
          <w:sz w:val="20"/>
          <w:szCs w:val="20"/>
          <w:u w:val="single"/>
        </w:rPr>
        <w:t>Periodic Processes</w:t>
      </w:r>
    </w:p>
    <w:p w:rsidR="001F465C" w:rsidRDefault="001F465C" w:rsidP="00645A9D">
      <w:pPr>
        <w:jc w:val="both"/>
        <w:rPr>
          <w:rFonts w:ascii="Arial" w:hAnsi="Arial" w:cs="Arial"/>
          <w:sz w:val="20"/>
          <w:szCs w:val="20"/>
        </w:rPr>
      </w:pPr>
      <w:r>
        <w:rPr>
          <w:rFonts w:ascii="Arial" w:hAnsi="Arial" w:cs="Arial"/>
          <w:sz w:val="20"/>
          <w:szCs w:val="20"/>
        </w:rPr>
        <w:t>Process outline:</w:t>
      </w:r>
      <w:r>
        <w:rPr>
          <w:rFonts w:ascii="Arial" w:hAnsi="Arial" w:cs="Arial"/>
          <w:sz w:val="20"/>
          <w:szCs w:val="20"/>
        </w:rPr>
        <w:tab/>
      </w:r>
    </w:p>
    <w:p w:rsidR="001F465C" w:rsidRPr="001F465C" w:rsidRDefault="001F465C" w:rsidP="001F465C">
      <w:pPr>
        <w:pStyle w:val="ListParagraph"/>
        <w:numPr>
          <w:ilvl w:val="0"/>
          <w:numId w:val="21"/>
        </w:numPr>
        <w:jc w:val="both"/>
        <w:rPr>
          <w:rFonts w:ascii="Arial" w:hAnsi="Arial" w:cs="Arial"/>
          <w:sz w:val="20"/>
          <w:szCs w:val="20"/>
        </w:rPr>
      </w:pPr>
      <w:r w:rsidRPr="001F465C">
        <w:rPr>
          <w:rFonts w:ascii="Arial" w:hAnsi="Arial" w:cs="Arial"/>
          <w:sz w:val="20"/>
          <w:szCs w:val="20"/>
        </w:rPr>
        <w:t>Pre-Devolution</w:t>
      </w:r>
    </w:p>
    <w:p w:rsidR="001F465C" w:rsidRDefault="001F465C" w:rsidP="001F465C">
      <w:pPr>
        <w:pStyle w:val="ListParagraph"/>
        <w:numPr>
          <w:ilvl w:val="0"/>
          <w:numId w:val="21"/>
        </w:numPr>
        <w:jc w:val="both"/>
        <w:rPr>
          <w:rFonts w:ascii="Arial" w:hAnsi="Arial" w:cs="Arial"/>
          <w:sz w:val="20"/>
          <w:szCs w:val="20"/>
        </w:rPr>
      </w:pPr>
      <w:r>
        <w:rPr>
          <w:rFonts w:ascii="Arial" w:hAnsi="Arial" w:cs="Arial"/>
          <w:sz w:val="20"/>
          <w:szCs w:val="20"/>
        </w:rPr>
        <w:t>Phase 1</w:t>
      </w:r>
    </w:p>
    <w:p w:rsidR="001F465C" w:rsidRPr="001F465C" w:rsidRDefault="001F465C" w:rsidP="001F465C">
      <w:pPr>
        <w:pStyle w:val="ListParagraph"/>
        <w:numPr>
          <w:ilvl w:val="1"/>
          <w:numId w:val="24"/>
        </w:numPr>
        <w:jc w:val="both"/>
        <w:rPr>
          <w:rFonts w:ascii="Arial" w:hAnsi="Arial" w:cs="Arial"/>
          <w:sz w:val="20"/>
          <w:szCs w:val="20"/>
        </w:rPr>
      </w:pPr>
      <w:r w:rsidRPr="001F465C">
        <w:rPr>
          <w:rFonts w:ascii="Arial" w:hAnsi="Arial" w:cs="Arial"/>
          <w:sz w:val="20"/>
          <w:szCs w:val="20"/>
        </w:rPr>
        <w:t>Costs</w:t>
      </w:r>
    </w:p>
    <w:p w:rsidR="001F465C" w:rsidRDefault="001F465C" w:rsidP="001F465C">
      <w:pPr>
        <w:pStyle w:val="ListParagraph"/>
        <w:numPr>
          <w:ilvl w:val="1"/>
          <w:numId w:val="24"/>
        </w:numPr>
        <w:jc w:val="both"/>
        <w:rPr>
          <w:rFonts w:ascii="Arial" w:hAnsi="Arial" w:cs="Arial"/>
          <w:sz w:val="20"/>
          <w:szCs w:val="20"/>
        </w:rPr>
      </w:pPr>
      <w:r>
        <w:rPr>
          <w:rFonts w:ascii="Arial" w:hAnsi="Arial" w:cs="Arial"/>
          <w:sz w:val="20"/>
          <w:szCs w:val="20"/>
        </w:rPr>
        <w:t>Income</w:t>
      </w:r>
    </w:p>
    <w:p w:rsidR="001F465C" w:rsidRDefault="001F465C" w:rsidP="001F465C">
      <w:pPr>
        <w:pStyle w:val="ListParagraph"/>
        <w:numPr>
          <w:ilvl w:val="1"/>
          <w:numId w:val="24"/>
        </w:numPr>
        <w:jc w:val="both"/>
        <w:rPr>
          <w:rFonts w:ascii="Arial" w:hAnsi="Arial" w:cs="Arial"/>
          <w:sz w:val="20"/>
          <w:szCs w:val="20"/>
        </w:rPr>
      </w:pPr>
      <w:r>
        <w:rPr>
          <w:rFonts w:ascii="Arial" w:hAnsi="Arial" w:cs="Arial"/>
          <w:sz w:val="20"/>
          <w:szCs w:val="20"/>
        </w:rPr>
        <w:t>Debt</w:t>
      </w:r>
    </w:p>
    <w:p w:rsidR="001F465C" w:rsidRPr="001F465C" w:rsidRDefault="001F465C" w:rsidP="001F465C">
      <w:pPr>
        <w:pStyle w:val="ListParagraph"/>
        <w:numPr>
          <w:ilvl w:val="0"/>
          <w:numId w:val="21"/>
        </w:numPr>
        <w:jc w:val="both"/>
        <w:rPr>
          <w:rFonts w:ascii="Arial" w:hAnsi="Arial" w:cs="Arial"/>
          <w:sz w:val="20"/>
          <w:szCs w:val="20"/>
        </w:rPr>
      </w:pPr>
      <w:r w:rsidRPr="001F465C">
        <w:rPr>
          <w:rFonts w:ascii="Arial" w:hAnsi="Arial" w:cs="Arial"/>
          <w:sz w:val="20"/>
          <w:szCs w:val="20"/>
        </w:rPr>
        <w:t>Phase 2</w:t>
      </w:r>
    </w:p>
    <w:p w:rsidR="001F465C" w:rsidRPr="001F465C" w:rsidRDefault="001F465C" w:rsidP="001F465C">
      <w:pPr>
        <w:pStyle w:val="ListParagraph"/>
        <w:numPr>
          <w:ilvl w:val="1"/>
          <w:numId w:val="26"/>
        </w:numPr>
        <w:jc w:val="both"/>
        <w:rPr>
          <w:rFonts w:ascii="Arial" w:hAnsi="Arial" w:cs="Arial"/>
          <w:sz w:val="20"/>
          <w:szCs w:val="20"/>
        </w:rPr>
      </w:pPr>
      <w:r w:rsidRPr="001F465C">
        <w:rPr>
          <w:rFonts w:ascii="Arial" w:hAnsi="Arial" w:cs="Arial"/>
          <w:sz w:val="20"/>
          <w:szCs w:val="20"/>
        </w:rPr>
        <w:t xml:space="preserve">Costs </w:t>
      </w:r>
    </w:p>
    <w:p w:rsidR="001F465C" w:rsidRDefault="001F465C" w:rsidP="001F465C">
      <w:pPr>
        <w:pStyle w:val="ListParagraph"/>
        <w:numPr>
          <w:ilvl w:val="1"/>
          <w:numId w:val="26"/>
        </w:numPr>
        <w:jc w:val="both"/>
        <w:rPr>
          <w:rFonts w:ascii="Arial" w:hAnsi="Arial" w:cs="Arial"/>
          <w:sz w:val="20"/>
          <w:szCs w:val="20"/>
        </w:rPr>
      </w:pPr>
      <w:r>
        <w:rPr>
          <w:rFonts w:ascii="Arial" w:hAnsi="Arial" w:cs="Arial"/>
          <w:sz w:val="20"/>
          <w:szCs w:val="20"/>
        </w:rPr>
        <w:t>Income</w:t>
      </w:r>
    </w:p>
    <w:p w:rsidR="001F465C" w:rsidRDefault="001F465C" w:rsidP="001F465C">
      <w:pPr>
        <w:pStyle w:val="ListParagraph"/>
        <w:numPr>
          <w:ilvl w:val="1"/>
          <w:numId w:val="26"/>
        </w:numPr>
        <w:jc w:val="both"/>
        <w:rPr>
          <w:rFonts w:ascii="Arial" w:hAnsi="Arial" w:cs="Arial"/>
          <w:sz w:val="20"/>
          <w:szCs w:val="20"/>
        </w:rPr>
      </w:pPr>
      <w:r>
        <w:rPr>
          <w:rFonts w:ascii="Arial" w:hAnsi="Arial" w:cs="Arial"/>
          <w:sz w:val="20"/>
          <w:szCs w:val="20"/>
        </w:rPr>
        <w:t>Debt</w:t>
      </w:r>
    </w:p>
    <w:p w:rsidR="001F465C" w:rsidRPr="001F465C" w:rsidRDefault="001F465C" w:rsidP="001F465C">
      <w:pPr>
        <w:pStyle w:val="ListParagraph"/>
        <w:numPr>
          <w:ilvl w:val="0"/>
          <w:numId w:val="21"/>
        </w:numPr>
        <w:jc w:val="both"/>
        <w:rPr>
          <w:rFonts w:ascii="Arial" w:hAnsi="Arial" w:cs="Arial"/>
          <w:sz w:val="20"/>
          <w:szCs w:val="20"/>
        </w:rPr>
      </w:pPr>
      <w:r>
        <w:rPr>
          <w:rFonts w:ascii="Arial" w:hAnsi="Arial" w:cs="Arial"/>
          <w:sz w:val="20"/>
          <w:szCs w:val="20"/>
        </w:rPr>
        <w:t>Phase 3</w:t>
      </w:r>
    </w:p>
    <w:p w:rsidR="00182F82" w:rsidRDefault="00182F82" w:rsidP="00182F82">
      <w:pPr>
        <w:pStyle w:val="ListParagraph"/>
        <w:ind w:left="360"/>
        <w:jc w:val="both"/>
        <w:rPr>
          <w:rFonts w:ascii="Arial" w:hAnsi="Arial" w:cs="Arial"/>
          <w:sz w:val="20"/>
          <w:szCs w:val="20"/>
          <w:u w:val="single"/>
        </w:rPr>
      </w:pPr>
    </w:p>
    <w:p w:rsidR="00BD3FE1" w:rsidRPr="00294E04" w:rsidRDefault="00BD3FE1" w:rsidP="001F465C">
      <w:pPr>
        <w:pStyle w:val="ListParagraph"/>
        <w:numPr>
          <w:ilvl w:val="0"/>
          <w:numId w:val="22"/>
        </w:numPr>
        <w:jc w:val="both"/>
        <w:rPr>
          <w:rFonts w:ascii="Arial" w:hAnsi="Arial" w:cs="Arial"/>
          <w:sz w:val="20"/>
          <w:szCs w:val="20"/>
          <w:u w:val="single"/>
        </w:rPr>
      </w:pPr>
      <w:r w:rsidRPr="00294E04">
        <w:rPr>
          <w:rFonts w:ascii="Arial" w:hAnsi="Arial" w:cs="Arial"/>
          <w:sz w:val="20"/>
          <w:szCs w:val="20"/>
          <w:u w:val="single"/>
        </w:rPr>
        <w:t>Pre-Devolution</w:t>
      </w:r>
    </w:p>
    <w:p w:rsidR="00BD3FE1" w:rsidRPr="00BD3FE1" w:rsidRDefault="00BD3FE1" w:rsidP="00BD3FE1">
      <w:pPr>
        <w:jc w:val="both"/>
        <w:rPr>
          <w:rFonts w:ascii="Arial" w:hAnsi="Arial" w:cs="Arial"/>
          <w:sz w:val="20"/>
          <w:szCs w:val="20"/>
        </w:rPr>
      </w:pPr>
      <w:r w:rsidRPr="00BD3FE1">
        <w:rPr>
          <w:rFonts w:ascii="Arial" w:hAnsi="Arial" w:cs="Arial"/>
          <w:sz w:val="20"/>
          <w:szCs w:val="20"/>
        </w:rPr>
        <w:t>All accounting was proces</w:t>
      </w:r>
      <w:r w:rsidR="004B7C4F">
        <w:rPr>
          <w:rFonts w:ascii="Arial" w:hAnsi="Arial" w:cs="Arial"/>
          <w:sz w:val="20"/>
          <w:szCs w:val="20"/>
        </w:rPr>
        <w:t>sed in</w:t>
      </w:r>
      <w:r>
        <w:rPr>
          <w:rFonts w:ascii="Arial" w:hAnsi="Arial" w:cs="Arial"/>
          <w:sz w:val="20"/>
          <w:szCs w:val="20"/>
        </w:rPr>
        <w:t xml:space="preserve"> cost centre 338752 and thus,</w:t>
      </w:r>
      <w:r w:rsidRPr="00BD3FE1">
        <w:rPr>
          <w:rFonts w:ascii="Arial" w:hAnsi="Arial" w:cs="Arial"/>
          <w:sz w:val="20"/>
          <w:szCs w:val="20"/>
        </w:rPr>
        <w:t xml:space="preserve"> both budget and actual costs were booked against 338752. </w:t>
      </w:r>
    </w:p>
    <w:p w:rsidR="00BD3FE1" w:rsidRPr="00BD3FE1" w:rsidRDefault="00BD3FE1" w:rsidP="00814F50">
      <w:pPr>
        <w:spacing w:after="80" w:line="240" w:lineRule="auto"/>
        <w:jc w:val="both"/>
        <w:rPr>
          <w:rFonts w:ascii="Arial" w:hAnsi="Arial" w:cs="Arial"/>
          <w:sz w:val="20"/>
          <w:szCs w:val="20"/>
        </w:rPr>
      </w:pPr>
      <w:r w:rsidRPr="00BD3FE1">
        <w:rPr>
          <w:rFonts w:ascii="Arial" w:hAnsi="Arial" w:cs="Arial"/>
          <w:sz w:val="20"/>
          <w:szCs w:val="20"/>
        </w:rPr>
        <w:t>The account codes used were as follows:</w:t>
      </w:r>
    </w:p>
    <w:p w:rsidR="00BD3FE1" w:rsidRPr="00BD3FE1" w:rsidRDefault="00BD3FE1" w:rsidP="00814F50">
      <w:pPr>
        <w:spacing w:after="80" w:line="240" w:lineRule="auto"/>
        <w:jc w:val="both"/>
        <w:rPr>
          <w:rFonts w:ascii="Arial" w:hAnsi="Arial" w:cs="Arial"/>
          <w:sz w:val="20"/>
          <w:szCs w:val="20"/>
        </w:rPr>
      </w:pPr>
      <w:r w:rsidRPr="00BD3FE1">
        <w:rPr>
          <w:rFonts w:ascii="Arial" w:hAnsi="Arial" w:cs="Arial"/>
          <w:sz w:val="20"/>
          <w:szCs w:val="20"/>
        </w:rPr>
        <w:lastRenderedPageBreak/>
        <w:t xml:space="preserve">520000 </w:t>
      </w:r>
      <w:proofErr w:type="gramStart"/>
      <w:r w:rsidRPr="00BD3FE1">
        <w:rPr>
          <w:rFonts w:ascii="Arial" w:hAnsi="Arial" w:cs="Arial"/>
          <w:sz w:val="20"/>
          <w:szCs w:val="20"/>
        </w:rPr>
        <w:t>Gas</w:t>
      </w:r>
      <w:proofErr w:type="gramEnd"/>
    </w:p>
    <w:p w:rsidR="00BD3FE1" w:rsidRPr="00BD3FE1" w:rsidRDefault="00BD3FE1" w:rsidP="00814F50">
      <w:pPr>
        <w:spacing w:after="80" w:line="240" w:lineRule="auto"/>
        <w:jc w:val="both"/>
        <w:rPr>
          <w:rFonts w:ascii="Arial" w:hAnsi="Arial" w:cs="Arial"/>
          <w:sz w:val="20"/>
          <w:szCs w:val="20"/>
        </w:rPr>
      </w:pPr>
      <w:proofErr w:type="gramStart"/>
      <w:r w:rsidRPr="00BD3FE1">
        <w:rPr>
          <w:rFonts w:ascii="Arial" w:hAnsi="Arial" w:cs="Arial"/>
          <w:sz w:val="20"/>
          <w:szCs w:val="20"/>
        </w:rPr>
        <w:t>521000 Sewerage</w:t>
      </w:r>
      <w:proofErr w:type="gramEnd"/>
      <w:r w:rsidRPr="00BD3FE1">
        <w:rPr>
          <w:rFonts w:ascii="Arial" w:hAnsi="Arial" w:cs="Arial"/>
          <w:sz w:val="20"/>
          <w:szCs w:val="20"/>
        </w:rPr>
        <w:t xml:space="preserve"> and Water</w:t>
      </w:r>
    </w:p>
    <w:p w:rsidR="00BD3FE1" w:rsidRPr="00BD3FE1" w:rsidRDefault="00BD3FE1" w:rsidP="00814F50">
      <w:pPr>
        <w:spacing w:after="80" w:line="240" w:lineRule="auto"/>
        <w:jc w:val="both"/>
        <w:rPr>
          <w:rFonts w:ascii="Arial" w:hAnsi="Arial" w:cs="Arial"/>
          <w:sz w:val="20"/>
          <w:szCs w:val="20"/>
        </w:rPr>
      </w:pPr>
      <w:proofErr w:type="gramStart"/>
      <w:r w:rsidRPr="00BD3FE1">
        <w:rPr>
          <w:rFonts w:ascii="Arial" w:hAnsi="Arial" w:cs="Arial"/>
          <w:sz w:val="20"/>
          <w:szCs w:val="20"/>
        </w:rPr>
        <w:t>522000 Electricity</w:t>
      </w:r>
      <w:proofErr w:type="gramEnd"/>
    </w:p>
    <w:p w:rsidR="00BD3FE1" w:rsidRPr="00BD3FE1" w:rsidRDefault="00BD3FE1" w:rsidP="00814F50">
      <w:pPr>
        <w:spacing w:after="80" w:line="240" w:lineRule="auto"/>
        <w:jc w:val="both"/>
        <w:rPr>
          <w:rFonts w:ascii="Arial" w:hAnsi="Arial" w:cs="Arial"/>
          <w:sz w:val="20"/>
          <w:szCs w:val="20"/>
        </w:rPr>
      </w:pPr>
      <w:r w:rsidRPr="00BD3FE1">
        <w:rPr>
          <w:rFonts w:ascii="Arial" w:hAnsi="Arial" w:cs="Arial"/>
          <w:sz w:val="20"/>
          <w:szCs w:val="20"/>
        </w:rPr>
        <w:t>523000 Fuel and Services</w:t>
      </w:r>
    </w:p>
    <w:p w:rsidR="00BD3FE1" w:rsidRPr="00BD3FE1" w:rsidRDefault="00BD3FE1" w:rsidP="00814F50">
      <w:pPr>
        <w:spacing w:after="80" w:line="240" w:lineRule="auto"/>
        <w:jc w:val="both"/>
        <w:rPr>
          <w:rFonts w:ascii="Arial" w:hAnsi="Arial" w:cs="Arial"/>
          <w:sz w:val="20"/>
          <w:szCs w:val="20"/>
        </w:rPr>
      </w:pPr>
      <w:proofErr w:type="gramStart"/>
      <w:r w:rsidRPr="00BD3FE1">
        <w:rPr>
          <w:rFonts w:ascii="Arial" w:hAnsi="Arial" w:cs="Arial"/>
          <w:sz w:val="20"/>
          <w:szCs w:val="20"/>
        </w:rPr>
        <w:t>524000 Oil</w:t>
      </w:r>
      <w:proofErr w:type="gramEnd"/>
    </w:p>
    <w:p w:rsidR="00BD3FE1" w:rsidRDefault="00BD3FE1" w:rsidP="00814F50">
      <w:pPr>
        <w:spacing w:after="80" w:line="240" w:lineRule="auto"/>
        <w:jc w:val="both"/>
        <w:rPr>
          <w:rFonts w:ascii="Arial" w:hAnsi="Arial" w:cs="Arial"/>
          <w:sz w:val="20"/>
          <w:szCs w:val="20"/>
        </w:rPr>
      </w:pPr>
      <w:r w:rsidRPr="00BD3FE1">
        <w:rPr>
          <w:rFonts w:ascii="Arial" w:hAnsi="Arial" w:cs="Arial"/>
          <w:sz w:val="20"/>
          <w:szCs w:val="20"/>
        </w:rPr>
        <w:t>525000 Other Utility Costs</w:t>
      </w:r>
    </w:p>
    <w:p w:rsidR="00814F50" w:rsidRPr="00BD3FE1" w:rsidRDefault="00814F50" w:rsidP="00814F50">
      <w:pPr>
        <w:spacing w:after="80" w:line="240" w:lineRule="auto"/>
        <w:jc w:val="both"/>
        <w:rPr>
          <w:rFonts w:ascii="Arial" w:hAnsi="Arial" w:cs="Arial"/>
          <w:sz w:val="20"/>
          <w:szCs w:val="20"/>
        </w:rPr>
      </w:pPr>
    </w:p>
    <w:p w:rsidR="00BD3FE1" w:rsidRDefault="00BD3FE1" w:rsidP="00BD3FE1">
      <w:pPr>
        <w:jc w:val="both"/>
        <w:rPr>
          <w:rFonts w:ascii="Arial" w:hAnsi="Arial" w:cs="Arial"/>
          <w:sz w:val="20"/>
          <w:szCs w:val="20"/>
        </w:rPr>
      </w:pPr>
      <w:r w:rsidRPr="00BD3FE1">
        <w:rPr>
          <w:rFonts w:ascii="Arial" w:hAnsi="Arial" w:cs="Arial"/>
          <w:sz w:val="20"/>
          <w:szCs w:val="20"/>
        </w:rPr>
        <w:t>Purc</w:t>
      </w:r>
      <w:r w:rsidR="004B7C4F">
        <w:rPr>
          <w:rFonts w:ascii="Arial" w:hAnsi="Arial" w:cs="Arial"/>
          <w:sz w:val="20"/>
          <w:szCs w:val="20"/>
        </w:rPr>
        <w:t xml:space="preserve">hase orders were raised by the Energy Management </w:t>
      </w:r>
      <w:r w:rsidRPr="00BD3FE1">
        <w:rPr>
          <w:rFonts w:ascii="Arial" w:hAnsi="Arial" w:cs="Arial"/>
          <w:sz w:val="20"/>
          <w:szCs w:val="20"/>
        </w:rPr>
        <w:t>team for suppliers and allocated to cost centre 338752 and the account code relating to the utility type (e.g., Electricity 522000).</w:t>
      </w:r>
    </w:p>
    <w:p w:rsidR="00BD3FE1" w:rsidRPr="001F465C" w:rsidRDefault="001F465C" w:rsidP="001F465C">
      <w:pPr>
        <w:jc w:val="both"/>
        <w:rPr>
          <w:rFonts w:ascii="Arial" w:hAnsi="Arial" w:cs="Arial"/>
          <w:sz w:val="20"/>
          <w:szCs w:val="20"/>
          <w:u w:val="single"/>
        </w:rPr>
      </w:pPr>
      <w:r w:rsidRPr="00294E04">
        <w:rPr>
          <w:rFonts w:ascii="Arial" w:hAnsi="Arial" w:cs="Arial"/>
          <w:sz w:val="20"/>
          <w:szCs w:val="20"/>
        </w:rPr>
        <w:t>2.1</w:t>
      </w:r>
      <w:r w:rsidR="00294E04">
        <w:rPr>
          <w:rFonts w:ascii="Arial" w:hAnsi="Arial" w:cs="Arial"/>
          <w:sz w:val="20"/>
          <w:szCs w:val="20"/>
        </w:rPr>
        <w:t xml:space="preserve">. </w:t>
      </w:r>
      <w:r w:rsidR="00BD3FE1" w:rsidRPr="001F465C">
        <w:rPr>
          <w:rFonts w:ascii="Arial" w:hAnsi="Arial" w:cs="Arial"/>
          <w:sz w:val="20"/>
          <w:szCs w:val="20"/>
          <w:u w:val="single"/>
        </w:rPr>
        <w:t>Phase 1</w:t>
      </w:r>
      <w:r w:rsidR="00816600" w:rsidRPr="001F465C">
        <w:rPr>
          <w:rFonts w:ascii="Arial" w:hAnsi="Arial" w:cs="Arial"/>
          <w:sz w:val="20"/>
          <w:szCs w:val="20"/>
          <w:u w:val="single"/>
        </w:rPr>
        <w:t xml:space="preserve"> - Costs</w:t>
      </w:r>
    </w:p>
    <w:p w:rsidR="00BD3FE1" w:rsidRPr="00BD3FE1" w:rsidRDefault="00BD3FE1" w:rsidP="00BD3FE1">
      <w:pPr>
        <w:jc w:val="both"/>
        <w:rPr>
          <w:rFonts w:ascii="Arial" w:hAnsi="Arial" w:cs="Arial"/>
          <w:sz w:val="20"/>
          <w:szCs w:val="20"/>
        </w:rPr>
      </w:pPr>
      <w:r w:rsidRPr="00BD3FE1">
        <w:rPr>
          <w:rFonts w:ascii="Arial" w:hAnsi="Arial" w:cs="Arial"/>
          <w:sz w:val="20"/>
          <w:szCs w:val="20"/>
        </w:rPr>
        <w:t xml:space="preserve">Phase 1 Utilities devolution commenced </w:t>
      </w:r>
      <w:r w:rsidR="004B7C4F">
        <w:rPr>
          <w:rFonts w:ascii="Arial" w:hAnsi="Arial" w:cs="Arial"/>
          <w:sz w:val="20"/>
          <w:szCs w:val="20"/>
        </w:rPr>
        <w:t xml:space="preserve">in </w:t>
      </w:r>
      <w:r>
        <w:rPr>
          <w:rFonts w:ascii="Arial" w:hAnsi="Arial" w:cs="Arial"/>
          <w:sz w:val="20"/>
          <w:szCs w:val="20"/>
        </w:rPr>
        <w:t>FY15</w:t>
      </w:r>
      <w:r w:rsidR="004B7C4F">
        <w:rPr>
          <w:rFonts w:ascii="Arial" w:hAnsi="Arial" w:cs="Arial"/>
          <w:sz w:val="20"/>
          <w:szCs w:val="20"/>
        </w:rPr>
        <w:t xml:space="preserve"> and f</w:t>
      </w:r>
      <w:r w:rsidRPr="00BD3FE1">
        <w:rPr>
          <w:rFonts w:ascii="Arial" w:hAnsi="Arial" w:cs="Arial"/>
          <w:sz w:val="20"/>
          <w:szCs w:val="20"/>
        </w:rPr>
        <w:t xml:space="preserve">lexed year 2 CP5 financial costs relating to Utilities for the financial year </w:t>
      </w:r>
      <w:r>
        <w:rPr>
          <w:rFonts w:ascii="Arial" w:hAnsi="Arial" w:cs="Arial"/>
          <w:sz w:val="20"/>
          <w:szCs w:val="20"/>
        </w:rPr>
        <w:t xml:space="preserve">FY16 </w:t>
      </w:r>
      <w:r w:rsidRPr="00BD3FE1">
        <w:rPr>
          <w:rFonts w:ascii="Arial" w:hAnsi="Arial" w:cs="Arial"/>
          <w:sz w:val="20"/>
          <w:szCs w:val="20"/>
        </w:rPr>
        <w:t>to the Routes.</w:t>
      </w:r>
    </w:p>
    <w:p w:rsidR="00BD3FE1" w:rsidRPr="00BD3FE1" w:rsidRDefault="00BD3FE1" w:rsidP="00BD3FE1">
      <w:pPr>
        <w:jc w:val="both"/>
        <w:rPr>
          <w:rFonts w:ascii="Arial" w:hAnsi="Arial" w:cs="Arial"/>
          <w:sz w:val="20"/>
          <w:szCs w:val="20"/>
        </w:rPr>
      </w:pPr>
      <w:r w:rsidRPr="00BD3FE1">
        <w:rPr>
          <w:rFonts w:ascii="Arial" w:hAnsi="Arial" w:cs="Arial"/>
          <w:sz w:val="20"/>
          <w:szCs w:val="20"/>
        </w:rPr>
        <w:t>Phas</w:t>
      </w:r>
      <w:r w:rsidR="004B7C4F">
        <w:rPr>
          <w:rFonts w:ascii="Arial" w:hAnsi="Arial" w:cs="Arial"/>
          <w:sz w:val="20"/>
          <w:szCs w:val="20"/>
        </w:rPr>
        <w:t>e 1 devolved only Utility costs;</w:t>
      </w:r>
      <w:r w:rsidRPr="00BD3FE1">
        <w:rPr>
          <w:rFonts w:ascii="Arial" w:hAnsi="Arial" w:cs="Arial"/>
          <w:sz w:val="20"/>
          <w:szCs w:val="20"/>
        </w:rPr>
        <w:t xml:space="preserve"> no income </w:t>
      </w:r>
      <w:r w:rsidR="004B7C4F">
        <w:rPr>
          <w:rFonts w:ascii="Arial" w:hAnsi="Arial" w:cs="Arial"/>
          <w:sz w:val="20"/>
          <w:szCs w:val="20"/>
        </w:rPr>
        <w:t>streams relating to usage from t</w:t>
      </w:r>
      <w:r w:rsidRPr="00BD3FE1">
        <w:rPr>
          <w:rFonts w:ascii="Arial" w:hAnsi="Arial" w:cs="Arial"/>
          <w:sz w:val="20"/>
          <w:szCs w:val="20"/>
        </w:rPr>
        <w:t>enants at Managed Stations or from energy use by TOCs, FOCs and third parties were devolved. This income and budget was kept in the E</w:t>
      </w:r>
      <w:r w:rsidR="00265763">
        <w:rPr>
          <w:rFonts w:ascii="Arial" w:hAnsi="Arial" w:cs="Arial"/>
          <w:sz w:val="20"/>
          <w:szCs w:val="20"/>
        </w:rPr>
        <w:t>nergy Management</w:t>
      </w:r>
      <w:r w:rsidRPr="00BD3FE1">
        <w:rPr>
          <w:rFonts w:ascii="Arial" w:hAnsi="Arial" w:cs="Arial"/>
          <w:sz w:val="20"/>
          <w:szCs w:val="20"/>
        </w:rPr>
        <w:t xml:space="preserve"> P&amp;L.</w:t>
      </w:r>
    </w:p>
    <w:p w:rsidR="00BD3FE1" w:rsidRPr="00BD3FE1" w:rsidRDefault="00BD3FE1" w:rsidP="001F465C">
      <w:pPr>
        <w:spacing w:after="80" w:line="240" w:lineRule="auto"/>
        <w:jc w:val="both"/>
        <w:rPr>
          <w:rFonts w:ascii="Arial" w:hAnsi="Arial" w:cs="Arial"/>
          <w:sz w:val="20"/>
          <w:szCs w:val="20"/>
        </w:rPr>
      </w:pPr>
      <w:r w:rsidRPr="00BD3FE1">
        <w:rPr>
          <w:rFonts w:ascii="Arial" w:hAnsi="Arial" w:cs="Arial"/>
          <w:sz w:val="20"/>
          <w:szCs w:val="20"/>
        </w:rPr>
        <w:t>The cost budget was flexed to the routes on three new account codes:</w:t>
      </w:r>
    </w:p>
    <w:p w:rsidR="00BD3FE1" w:rsidRPr="00BD3FE1" w:rsidRDefault="00BD3FE1" w:rsidP="001F465C">
      <w:pPr>
        <w:spacing w:after="80" w:line="240" w:lineRule="auto"/>
        <w:jc w:val="both"/>
        <w:rPr>
          <w:rFonts w:ascii="Arial" w:hAnsi="Arial" w:cs="Arial"/>
          <w:sz w:val="20"/>
          <w:szCs w:val="20"/>
        </w:rPr>
      </w:pPr>
      <w:r w:rsidRPr="00BD3FE1">
        <w:rPr>
          <w:rFonts w:ascii="Arial" w:hAnsi="Arial" w:cs="Arial"/>
          <w:sz w:val="20"/>
          <w:szCs w:val="20"/>
        </w:rPr>
        <w:t>520500 Route Recovery Gas</w:t>
      </w:r>
    </w:p>
    <w:p w:rsidR="00BD3FE1" w:rsidRPr="00BD3FE1" w:rsidRDefault="00BD3FE1" w:rsidP="001F465C">
      <w:pPr>
        <w:spacing w:after="80" w:line="240" w:lineRule="auto"/>
        <w:jc w:val="both"/>
        <w:rPr>
          <w:rFonts w:ascii="Arial" w:hAnsi="Arial" w:cs="Arial"/>
          <w:sz w:val="20"/>
          <w:szCs w:val="20"/>
        </w:rPr>
      </w:pPr>
      <w:r w:rsidRPr="00BD3FE1">
        <w:rPr>
          <w:rFonts w:ascii="Arial" w:hAnsi="Arial" w:cs="Arial"/>
          <w:sz w:val="20"/>
          <w:szCs w:val="20"/>
        </w:rPr>
        <w:t>521500 Route Recovery Water</w:t>
      </w:r>
    </w:p>
    <w:p w:rsidR="00BD3FE1" w:rsidRDefault="00BD3FE1" w:rsidP="001F465C">
      <w:pPr>
        <w:spacing w:after="80" w:line="240" w:lineRule="auto"/>
        <w:jc w:val="both"/>
        <w:rPr>
          <w:rFonts w:ascii="Arial" w:hAnsi="Arial" w:cs="Arial"/>
          <w:sz w:val="20"/>
          <w:szCs w:val="20"/>
        </w:rPr>
      </w:pPr>
      <w:proofErr w:type="gramStart"/>
      <w:r w:rsidRPr="00BD3FE1">
        <w:rPr>
          <w:rFonts w:ascii="Arial" w:hAnsi="Arial" w:cs="Arial"/>
          <w:sz w:val="20"/>
          <w:szCs w:val="20"/>
        </w:rPr>
        <w:t>522500 Route Recovery Electricity</w:t>
      </w:r>
      <w:proofErr w:type="gramEnd"/>
    </w:p>
    <w:p w:rsidR="001F465C" w:rsidRPr="00BD3FE1" w:rsidRDefault="001F465C" w:rsidP="001F465C">
      <w:pPr>
        <w:spacing w:after="80" w:line="240" w:lineRule="auto"/>
        <w:jc w:val="both"/>
        <w:rPr>
          <w:rFonts w:ascii="Arial" w:hAnsi="Arial" w:cs="Arial"/>
          <w:sz w:val="20"/>
          <w:szCs w:val="20"/>
        </w:rPr>
      </w:pPr>
    </w:p>
    <w:p w:rsidR="00BD3FE1" w:rsidRPr="00BD3FE1" w:rsidRDefault="00BD3FE1" w:rsidP="00BD3FE1">
      <w:pPr>
        <w:jc w:val="both"/>
        <w:rPr>
          <w:rFonts w:ascii="Arial" w:hAnsi="Arial" w:cs="Arial"/>
          <w:sz w:val="20"/>
          <w:szCs w:val="20"/>
        </w:rPr>
      </w:pPr>
      <w:r w:rsidRPr="00BD3FE1">
        <w:rPr>
          <w:rFonts w:ascii="Arial" w:hAnsi="Arial" w:cs="Arial"/>
          <w:sz w:val="20"/>
          <w:szCs w:val="20"/>
        </w:rPr>
        <w:t xml:space="preserve">All accounting relating to payment of suppliers is still processed on cost centre 338752. </w:t>
      </w:r>
      <w:r w:rsidR="00265763">
        <w:rPr>
          <w:rFonts w:ascii="Arial" w:hAnsi="Arial" w:cs="Arial"/>
          <w:sz w:val="20"/>
          <w:szCs w:val="20"/>
        </w:rPr>
        <w:t>Energy Management</w:t>
      </w:r>
      <w:r w:rsidRPr="00BD3FE1">
        <w:rPr>
          <w:rFonts w:ascii="Arial" w:hAnsi="Arial" w:cs="Arial"/>
          <w:sz w:val="20"/>
          <w:szCs w:val="20"/>
        </w:rPr>
        <w:t xml:space="preserve"> conducts bill validation (via Optima Energy) and locks rates for energy supply.</w:t>
      </w:r>
    </w:p>
    <w:p w:rsidR="00BD3FE1" w:rsidRPr="00BD3FE1" w:rsidRDefault="00BD3FE1" w:rsidP="00BD3FE1">
      <w:pPr>
        <w:jc w:val="both"/>
        <w:rPr>
          <w:rFonts w:ascii="Arial" w:hAnsi="Arial" w:cs="Arial"/>
          <w:sz w:val="20"/>
          <w:szCs w:val="20"/>
        </w:rPr>
      </w:pPr>
      <w:r w:rsidRPr="00BD3FE1">
        <w:rPr>
          <w:rFonts w:ascii="Arial" w:hAnsi="Arial" w:cs="Arial"/>
          <w:sz w:val="20"/>
          <w:szCs w:val="20"/>
        </w:rPr>
        <w:t xml:space="preserve">A purchase order is raised against 338752 and suppliers present invoices to Accounts Payable following approval from </w:t>
      </w:r>
      <w:r w:rsidR="00265763">
        <w:rPr>
          <w:rFonts w:ascii="Arial" w:hAnsi="Arial" w:cs="Arial"/>
          <w:sz w:val="20"/>
          <w:szCs w:val="20"/>
        </w:rPr>
        <w:t>Energy Management</w:t>
      </w:r>
      <w:r w:rsidRPr="00BD3FE1">
        <w:rPr>
          <w:rFonts w:ascii="Arial" w:hAnsi="Arial" w:cs="Arial"/>
          <w:sz w:val="20"/>
          <w:szCs w:val="20"/>
        </w:rPr>
        <w:t xml:space="preserve"> who book these costs to their P&amp;L. (Debit)</w:t>
      </w:r>
    </w:p>
    <w:p w:rsidR="00BD3FE1" w:rsidRPr="00BD3FE1" w:rsidRDefault="00BD3FE1" w:rsidP="00BD3FE1">
      <w:pPr>
        <w:jc w:val="both"/>
        <w:rPr>
          <w:rFonts w:ascii="Arial" w:hAnsi="Arial" w:cs="Arial"/>
          <w:sz w:val="20"/>
          <w:szCs w:val="20"/>
        </w:rPr>
      </w:pPr>
      <w:r w:rsidRPr="00BD3FE1">
        <w:rPr>
          <w:rFonts w:ascii="Arial" w:hAnsi="Arial" w:cs="Arial"/>
          <w:sz w:val="20"/>
          <w:szCs w:val="20"/>
        </w:rPr>
        <w:t>Each period (one period in arrears) route utilities usage (volume) is calculated and multiplied by a blended rate. The cost (credit) is recharged to routes on the account codes to which Route budgets were devolved (see above)</w:t>
      </w:r>
    </w:p>
    <w:p w:rsidR="00BD3FE1" w:rsidRPr="00BD3FE1" w:rsidRDefault="00BD3FE1" w:rsidP="00BD3FE1">
      <w:pPr>
        <w:jc w:val="both"/>
        <w:rPr>
          <w:rFonts w:ascii="Arial" w:hAnsi="Arial" w:cs="Arial"/>
          <w:sz w:val="20"/>
          <w:szCs w:val="20"/>
        </w:rPr>
      </w:pPr>
      <w:r w:rsidRPr="00BD3FE1">
        <w:rPr>
          <w:rFonts w:ascii="Arial" w:hAnsi="Arial" w:cs="Arial"/>
          <w:sz w:val="20"/>
          <w:szCs w:val="20"/>
        </w:rPr>
        <w:t xml:space="preserve">Routes hold budget and actuals per the hierarchy in RED (Railway Energy Database) which is at a Delivery Unit and Managed Station level. This is the summary level of 8500 metres that supply the facilities. </w:t>
      </w:r>
    </w:p>
    <w:p w:rsidR="00BD3FE1" w:rsidRDefault="00BD3FE1" w:rsidP="00BD3FE1">
      <w:pPr>
        <w:jc w:val="both"/>
        <w:rPr>
          <w:rFonts w:ascii="Arial" w:hAnsi="Arial" w:cs="Arial"/>
          <w:sz w:val="20"/>
          <w:szCs w:val="20"/>
        </w:rPr>
      </w:pPr>
      <w:r w:rsidRPr="00BD3FE1">
        <w:rPr>
          <w:rFonts w:ascii="Arial" w:hAnsi="Arial" w:cs="Arial"/>
          <w:sz w:val="20"/>
          <w:szCs w:val="20"/>
        </w:rPr>
        <w:t>Currently usage is posted to routes one period in arrears with a calculation being made at P13 (a type of wash up) taking into account the P01 entry</w:t>
      </w:r>
      <w:r w:rsidR="00265763">
        <w:rPr>
          <w:rFonts w:ascii="Arial" w:hAnsi="Arial" w:cs="Arial"/>
          <w:sz w:val="20"/>
          <w:szCs w:val="20"/>
        </w:rPr>
        <w:t>, which would have been P01 budget.</w:t>
      </w:r>
    </w:p>
    <w:p w:rsidR="00927173" w:rsidRPr="001F465C" w:rsidRDefault="001F465C" w:rsidP="001F465C">
      <w:pPr>
        <w:jc w:val="both"/>
        <w:rPr>
          <w:rFonts w:ascii="Arial" w:hAnsi="Arial" w:cs="Arial"/>
          <w:sz w:val="20"/>
          <w:szCs w:val="20"/>
          <w:u w:val="single"/>
        </w:rPr>
      </w:pPr>
      <w:r w:rsidRPr="00294E04">
        <w:rPr>
          <w:rFonts w:ascii="Arial" w:hAnsi="Arial" w:cs="Arial"/>
          <w:sz w:val="20"/>
          <w:szCs w:val="20"/>
        </w:rPr>
        <w:t>2.2</w:t>
      </w:r>
      <w:r w:rsidR="00294E04">
        <w:rPr>
          <w:rFonts w:ascii="Arial" w:hAnsi="Arial" w:cs="Arial"/>
          <w:sz w:val="20"/>
          <w:szCs w:val="20"/>
        </w:rPr>
        <w:t>.</w:t>
      </w:r>
      <w:r w:rsidRPr="00294E04">
        <w:rPr>
          <w:rFonts w:ascii="Arial" w:hAnsi="Arial" w:cs="Arial"/>
          <w:sz w:val="20"/>
          <w:szCs w:val="20"/>
        </w:rPr>
        <w:t xml:space="preserve"> </w:t>
      </w:r>
      <w:r w:rsidR="00816600" w:rsidRPr="001F465C">
        <w:rPr>
          <w:rFonts w:ascii="Arial" w:hAnsi="Arial" w:cs="Arial"/>
          <w:sz w:val="20"/>
          <w:szCs w:val="20"/>
          <w:u w:val="single"/>
        </w:rPr>
        <w:t>Phase 1</w:t>
      </w:r>
      <w:r w:rsidR="00927173" w:rsidRPr="001F465C">
        <w:rPr>
          <w:rFonts w:ascii="Arial" w:hAnsi="Arial" w:cs="Arial"/>
          <w:sz w:val="20"/>
          <w:szCs w:val="20"/>
          <w:u w:val="single"/>
        </w:rPr>
        <w:t xml:space="preserve"> – Income</w:t>
      </w:r>
    </w:p>
    <w:p w:rsidR="00927173" w:rsidRPr="00182F82" w:rsidRDefault="00927173" w:rsidP="00927173">
      <w:pPr>
        <w:jc w:val="both"/>
        <w:rPr>
          <w:rFonts w:ascii="Arial" w:hAnsi="Arial" w:cs="Arial"/>
          <w:sz w:val="20"/>
          <w:szCs w:val="20"/>
        </w:rPr>
      </w:pPr>
      <w:r w:rsidRPr="00182F82">
        <w:rPr>
          <w:rFonts w:ascii="Arial" w:hAnsi="Arial" w:cs="Arial"/>
          <w:sz w:val="20"/>
          <w:szCs w:val="20"/>
        </w:rPr>
        <w:t>TOC/FO</w:t>
      </w:r>
      <w:r w:rsidR="00182F82" w:rsidRPr="00182F82">
        <w:rPr>
          <w:rFonts w:ascii="Arial" w:hAnsi="Arial" w:cs="Arial"/>
          <w:sz w:val="20"/>
          <w:szCs w:val="20"/>
        </w:rPr>
        <w:t>C,</w:t>
      </w:r>
      <w:r w:rsidRPr="00182F82">
        <w:rPr>
          <w:rFonts w:ascii="Arial" w:hAnsi="Arial" w:cs="Arial"/>
          <w:sz w:val="20"/>
          <w:szCs w:val="20"/>
        </w:rPr>
        <w:t xml:space="preserve"> 3rd Party &amp; tenant</w:t>
      </w:r>
      <w:r w:rsidR="00182F82" w:rsidRPr="00182F82">
        <w:rPr>
          <w:rFonts w:ascii="Arial" w:hAnsi="Arial" w:cs="Arial"/>
          <w:sz w:val="20"/>
          <w:szCs w:val="20"/>
        </w:rPr>
        <w:t xml:space="preserve"> off-charging are</w:t>
      </w:r>
      <w:r w:rsidRPr="00182F82">
        <w:rPr>
          <w:rFonts w:ascii="Arial" w:hAnsi="Arial" w:cs="Arial"/>
          <w:sz w:val="20"/>
          <w:szCs w:val="20"/>
        </w:rPr>
        <w:t xml:space="preserve"> </w:t>
      </w:r>
      <w:r w:rsidR="00814F50" w:rsidRPr="00182F82">
        <w:rPr>
          <w:rFonts w:ascii="Arial" w:hAnsi="Arial" w:cs="Arial"/>
          <w:sz w:val="20"/>
          <w:szCs w:val="20"/>
        </w:rPr>
        <w:t>initiated</w:t>
      </w:r>
      <w:r w:rsidRPr="00182F82">
        <w:rPr>
          <w:rFonts w:ascii="Arial" w:hAnsi="Arial" w:cs="Arial"/>
          <w:sz w:val="20"/>
          <w:szCs w:val="20"/>
        </w:rPr>
        <w:t xml:space="preserve"> by the Energy Management team; invoices are process by Accounts Receivable. The current system relies on billing relating to utility offtake schedules on an annual basis and is cumbersome and open to regular challenge.  </w:t>
      </w:r>
    </w:p>
    <w:p w:rsidR="001F465C" w:rsidRPr="00FA7171" w:rsidRDefault="001F465C" w:rsidP="001F465C">
      <w:pPr>
        <w:jc w:val="both"/>
        <w:rPr>
          <w:rFonts w:ascii="Arial" w:hAnsi="Arial" w:cs="Arial"/>
          <w:sz w:val="20"/>
          <w:szCs w:val="20"/>
          <w:u w:val="single"/>
        </w:rPr>
      </w:pPr>
      <w:r w:rsidRPr="00294E04">
        <w:rPr>
          <w:rFonts w:ascii="Arial" w:hAnsi="Arial" w:cs="Arial"/>
          <w:sz w:val="20"/>
          <w:szCs w:val="20"/>
        </w:rPr>
        <w:t>2.3</w:t>
      </w:r>
      <w:r w:rsidR="00294E04" w:rsidRPr="00294E04">
        <w:rPr>
          <w:rFonts w:ascii="Arial" w:hAnsi="Arial" w:cs="Arial"/>
          <w:sz w:val="20"/>
          <w:szCs w:val="20"/>
        </w:rPr>
        <w:t xml:space="preserve">. </w:t>
      </w:r>
      <w:r>
        <w:rPr>
          <w:rFonts w:ascii="Arial" w:hAnsi="Arial" w:cs="Arial"/>
          <w:sz w:val="20"/>
          <w:szCs w:val="20"/>
          <w:u w:val="single"/>
        </w:rPr>
        <w:t xml:space="preserve">Phase 1 - </w:t>
      </w:r>
      <w:r w:rsidRPr="00FA7171">
        <w:rPr>
          <w:rFonts w:ascii="Arial" w:hAnsi="Arial" w:cs="Arial"/>
          <w:sz w:val="20"/>
          <w:szCs w:val="20"/>
          <w:u w:val="single"/>
        </w:rPr>
        <w:t xml:space="preserve">Debt </w:t>
      </w:r>
    </w:p>
    <w:p w:rsidR="001F465C" w:rsidRPr="00FA7171" w:rsidRDefault="001F465C" w:rsidP="001F465C">
      <w:pPr>
        <w:jc w:val="both"/>
        <w:rPr>
          <w:rFonts w:ascii="Arial" w:hAnsi="Arial" w:cs="Arial"/>
          <w:sz w:val="20"/>
          <w:szCs w:val="20"/>
        </w:rPr>
      </w:pPr>
      <w:r w:rsidRPr="00FA7171">
        <w:rPr>
          <w:rFonts w:ascii="Arial" w:hAnsi="Arial" w:cs="Arial"/>
          <w:sz w:val="20"/>
          <w:szCs w:val="20"/>
        </w:rPr>
        <w:t>Any debt – i.e. invoices not paid after 6 month</w:t>
      </w:r>
      <w:r>
        <w:rPr>
          <w:rFonts w:ascii="Arial" w:hAnsi="Arial" w:cs="Arial"/>
          <w:sz w:val="20"/>
          <w:szCs w:val="20"/>
        </w:rPr>
        <w:t>s is currently debited to the Energy Management</w:t>
      </w:r>
      <w:r w:rsidRPr="00FA7171">
        <w:rPr>
          <w:rFonts w:ascii="Arial" w:hAnsi="Arial" w:cs="Arial"/>
          <w:sz w:val="20"/>
          <w:szCs w:val="20"/>
        </w:rPr>
        <w:t xml:space="preserve"> P&amp;L. This will in future be allocated to routes now receiving the income stream</w:t>
      </w:r>
      <w:r w:rsidR="00A93BD3">
        <w:rPr>
          <w:rFonts w:ascii="Arial" w:hAnsi="Arial" w:cs="Arial"/>
          <w:sz w:val="20"/>
          <w:szCs w:val="20"/>
        </w:rPr>
        <w:t xml:space="preserve">, via Financial Shared Services. </w:t>
      </w:r>
    </w:p>
    <w:p w:rsidR="001F465C" w:rsidRPr="00FA7171" w:rsidRDefault="001F465C" w:rsidP="001F465C">
      <w:pPr>
        <w:spacing w:after="80" w:line="240" w:lineRule="auto"/>
        <w:jc w:val="both"/>
        <w:rPr>
          <w:rFonts w:ascii="Arial" w:hAnsi="Arial" w:cs="Arial"/>
          <w:sz w:val="20"/>
          <w:szCs w:val="20"/>
        </w:rPr>
      </w:pPr>
      <w:r w:rsidRPr="00FA7171">
        <w:rPr>
          <w:rFonts w:ascii="Arial" w:hAnsi="Arial" w:cs="Arial"/>
          <w:sz w:val="20"/>
          <w:szCs w:val="20"/>
        </w:rPr>
        <w:t>Income and debt is current processed against cost centre 338752 on the following account codes:</w:t>
      </w:r>
    </w:p>
    <w:p w:rsidR="001F465C" w:rsidRPr="00FA7171" w:rsidRDefault="001F465C" w:rsidP="001F465C">
      <w:pPr>
        <w:spacing w:after="80" w:line="240" w:lineRule="auto"/>
        <w:jc w:val="both"/>
        <w:rPr>
          <w:rFonts w:ascii="Arial" w:hAnsi="Arial" w:cs="Arial"/>
          <w:sz w:val="20"/>
          <w:szCs w:val="20"/>
        </w:rPr>
      </w:pPr>
      <w:r w:rsidRPr="00FA7171">
        <w:rPr>
          <w:rFonts w:ascii="Arial" w:hAnsi="Arial" w:cs="Arial"/>
          <w:sz w:val="20"/>
          <w:szCs w:val="20"/>
        </w:rPr>
        <w:t xml:space="preserve">093110 </w:t>
      </w:r>
      <w:proofErr w:type="spellStart"/>
      <w:r w:rsidRPr="00FA7171">
        <w:rPr>
          <w:rFonts w:ascii="Arial" w:hAnsi="Arial" w:cs="Arial"/>
          <w:sz w:val="20"/>
          <w:szCs w:val="20"/>
        </w:rPr>
        <w:t>Util</w:t>
      </w:r>
      <w:proofErr w:type="spellEnd"/>
      <w:r w:rsidRPr="00FA7171">
        <w:rPr>
          <w:rFonts w:ascii="Arial" w:hAnsi="Arial" w:cs="Arial"/>
          <w:sz w:val="20"/>
          <w:szCs w:val="20"/>
        </w:rPr>
        <w:t xml:space="preserve"> </w:t>
      </w:r>
      <w:proofErr w:type="spellStart"/>
      <w:r w:rsidRPr="00FA7171">
        <w:rPr>
          <w:rFonts w:ascii="Arial" w:hAnsi="Arial" w:cs="Arial"/>
          <w:sz w:val="20"/>
          <w:szCs w:val="20"/>
        </w:rPr>
        <w:t>Recov</w:t>
      </w:r>
      <w:proofErr w:type="spellEnd"/>
      <w:r w:rsidRPr="00FA7171">
        <w:rPr>
          <w:rFonts w:ascii="Arial" w:hAnsi="Arial" w:cs="Arial"/>
          <w:sz w:val="20"/>
          <w:szCs w:val="20"/>
        </w:rPr>
        <w:t>-Electric</w:t>
      </w:r>
    </w:p>
    <w:p w:rsidR="001F465C" w:rsidRPr="00FA7171" w:rsidRDefault="001F465C" w:rsidP="001F465C">
      <w:pPr>
        <w:spacing w:after="80" w:line="240" w:lineRule="auto"/>
        <w:jc w:val="both"/>
        <w:rPr>
          <w:rFonts w:ascii="Arial" w:hAnsi="Arial" w:cs="Arial"/>
          <w:sz w:val="20"/>
          <w:szCs w:val="20"/>
        </w:rPr>
      </w:pPr>
      <w:r w:rsidRPr="00FA7171">
        <w:rPr>
          <w:rFonts w:ascii="Arial" w:hAnsi="Arial" w:cs="Arial"/>
          <w:sz w:val="20"/>
          <w:szCs w:val="20"/>
        </w:rPr>
        <w:t xml:space="preserve">093120 </w:t>
      </w:r>
      <w:proofErr w:type="spellStart"/>
      <w:r w:rsidRPr="00FA7171">
        <w:rPr>
          <w:rFonts w:ascii="Arial" w:hAnsi="Arial" w:cs="Arial"/>
          <w:sz w:val="20"/>
          <w:szCs w:val="20"/>
        </w:rPr>
        <w:t>Util</w:t>
      </w:r>
      <w:proofErr w:type="spellEnd"/>
      <w:r w:rsidRPr="00FA7171">
        <w:rPr>
          <w:rFonts w:ascii="Arial" w:hAnsi="Arial" w:cs="Arial"/>
          <w:sz w:val="20"/>
          <w:szCs w:val="20"/>
        </w:rPr>
        <w:t xml:space="preserve"> Recovery - Gas</w:t>
      </w:r>
    </w:p>
    <w:p w:rsidR="001F465C" w:rsidRPr="00FA7171" w:rsidRDefault="001F465C" w:rsidP="001F465C">
      <w:pPr>
        <w:spacing w:after="80" w:line="240" w:lineRule="auto"/>
        <w:jc w:val="both"/>
        <w:rPr>
          <w:rFonts w:ascii="Arial" w:hAnsi="Arial" w:cs="Arial"/>
          <w:sz w:val="20"/>
          <w:szCs w:val="20"/>
        </w:rPr>
      </w:pPr>
      <w:r w:rsidRPr="00FA7171">
        <w:rPr>
          <w:rFonts w:ascii="Arial" w:hAnsi="Arial" w:cs="Arial"/>
          <w:sz w:val="20"/>
          <w:szCs w:val="20"/>
        </w:rPr>
        <w:t xml:space="preserve">093130 Utility </w:t>
      </w:r>
      <w:proofErr w:type="spellStart"/>
      <w:r w:rsidRPr="00FA7171">
        <w:rPr>
          <w:rFonts w:ascii="Arial" w:hAnsi="Arial" w:cs="Arial"/>
          <w:sz w:val="20"/>
          <w:szCs w:val="20"/>
        </w:rPr>
        <w:t>Recov</w:t>
      </w:r>
      <w:proofErr w:type="spellEnd"/>
      <w:r w:rsidRPr="00FA7171">
        <w:rPr>
          <w:rFonts w:ascii="Arial" w:hAnsi="Arial" w:cs="Arial"/>
          <w:sz w:val="20"/>
          <w:szCs w:val="20"/>
        </w:rPr>
        <w:t xml:space="preserve"> - Water</w:t>
      </w:r>
    </w:p>
    <w:p w:rsidR="001F465C" w:rsidRDefault="001F465C" w:rsidP="001F465C">
      <w:pPr>
        <w:spacing w:after="80" w:line="240" w:lineRule="auto"/>
        <w:jc w:val="both"/>
        <w:rPr>
          <w:rFonts w:ascii="Arial" w:hAnsi="Arial" w:cs="Arial"/>
          <w:sz w:val="20"/>
          <w:szCs w:val="20"/>
        </w:rPr>
      </w:pPr>
      <w:r w:rsidRPr="00FA7171">
        <w:rPr>
          <w:rFonts w:ascii="Arial" w:hAnsi="Arial" w:cs="Arial"/>
          <w:sz w:val="20"/>
          <w:szCs w:val="20"/>
        </w:rPr>
        <w:lastRenderedPageBreak/>
        <w:t xml:space="preserve">093140 </w:t>
      </w:r>
      <w:proofErr w:type="spellStart"/>
      <w:r w:rsidRPr="00FA7171">
        <w:rPr>
          <w:rFonts w:ascii="Arial" w:hAnsi="Arial" w:cs="Arial"/>
          <w:sz w:val="20"/>
          <w:szCs w:val="20"/>
        </w:rPr>
        <w:t>Util</w:t>
      </w:r>
      <w:proofErr w:type="spellEnd"/>
      <w:r w:rsidRPr="00FA7171">
        <w:rPr>
          <w:rFonts w:ascii="Arial" w:hAnsi="Arial" w:cs="Arial"/>
          <w:sz w:val="20"/>
          <w:szCs w:val="20"/>
        </w:rPr>
        <w:t xml:space="preserve"> Recovery </w:t>
      </w:r>
      <w:r>
        <w:rPr>
          <w:rFonts w:ascii="Arial" w:hAnsi="Arial" w:cs="Arial"/>
          <w:sz w:val="20"/>
          <w:szCs w:val="20"/>
        </w:rPr>
        <w:t>–</w:t>
      </w:r>
      <w:r w:rsidRPr="00FA7171">
        <w:rPr>
          <w:rFonts w:ascii="Arial" w:hAnsi="Arial" w:cs="Arial"/>
          <w:sz w:val="20"/>
          <w:szCs w:val="20"/>
        </w:rPr>
        <w:t xml:space="preserve"> Oil</w:t>
      </w:r>
    </w:p>
    <w:p w:rsidR="009350DE" w:rsidRDefault="009350DE" w:rsidP="009350DE">
      <w:pPr>
        <w:pStyle w:val="ListParagraph"/>
        <w:ind w:left="360"/>
        <w:jc w:val="both"/>
        <w:rPr>
          <w:rFonts w:ascii="Arial" w:hAnsi="Arial" w:cs="Arial"/>
          <w:sz w:val="20"/>
          <w:szCs w:val="20"/>
          <w:u w:val="single"/>
        </w:rPr>
      </w:pPr>
    </w:p>
    <w:p w:rsidR="00816600" w:rsidRDefault="00816600" w:rsidP="009350DE">
      <w:pPr>
        <w:pStyle w:val="ListParagraph"/>
        <w:numPr>
          <w:ilvl w:val="0"/>
          <w:numId w:val="27"/>
        </w:numPr>
        <w:jc w:val="both"/>
        <w:rPr>
          <w:rFonts w:ascii="Arial" w:hAnsi="Arial" w:cs="Arial"/>
          <w:sz w:val="20"/>
          <w:szCs w:val="20"/>
          <w:u w:val="single"/>
        </w:rPr>
      </w:pPr>
      <w:r w:rsidRPr="009350DE">
        <w:rPr>
          <w:rFonts w:ascii="Arial" w:hAnsi="Arial" w:cs="Arial"/>
          <w:sz w:val="20"/>
          <w:szCs w:val="20"/>
          <w:u w:val="single"/>
        </w:rPr>
        <w:t>Phase 2 – foreword</w:t>
      </w:r>
      <w:r w:rsidR="00AE19DD">
        <w:rPr>
          <w:rFonts w:ascii="Arial" w:hAnsi="Arial" w:cs="Arial"/>
          <w:sz w:val="20"/>
          <w:szCs w:val="20"/>
          <w:u w:val="single"/>
        </w:rPr>
        <w:t xml:space="preserve"> </w:t>
      </w:r>
    </w:p>
    <w:p w:rsidR="00AE19DD" w:rsidRPr="009350DE" w:rsidRDefault="00AE19DD" w:rsidP="00182F82">
      <w:pPr>
        <w:pStyle w:val="ListParagraph"/>
        <w:ind w:left="360"/>
        <w:jc w:val="both"/>
        <w:rPr>
          <w:rFonts w:ascii="Arial" w:hAnsi="Arial" w:cs="Arial"/>
          <w:sz w:val="20"/>
          <w:szCs w:val="20"/>
          <w:u w:val="single"/>
        </w:rPr>
      </w:pPr>
    </w:p>
    <w:p w:rsidR="00AE19DD" w:rsidRPr="00D5399F" w:rsidRDefault="00AE19DD" w:rsidP="00AE19DD">
      <w:pPr>
        <w:pStyle w:val="ListParagraph"/>
        <w:ind w:left="0"/>
        <w:rPr>
          <w:color w:val="FF0000"/>
        </w:rPr>
      </w:pPr>
      <w:r>
        <w:rPr>
          <w:rFonts w:ascii="Arial" w:hAnsi="Arial" w:cs="Arial"/>
          <w:sz w:val="20"/>
          <w:szCs w:val="20"/>
        </w:rPr>
        <w:t xml:space="preserve">When </w:t>
      </w:r>
      <w:proofErr w:type="spellStart"/>
      <w:r>
        <w:rPr>
          <w:rFonts w:ascii="Arial" w:hAnsi="Arial" w:cs="Arial"/>
          <w:sz w:val="20"/>
          <w:szCs w:val="20"/>
        </w:rPr>
        <w:t>EnergyLink</w:t>
      </w:r>
      <w:proofErr w:type="spellEnd"/>
      <w:r>
        <w:rPr>
          <w:rFonts w:ascii="Arial" w:hAnsi="Arial" w:cs="Arial"/>
          <w:sz w:val="20"/>
          <w:szCs w:val="20"/>
        </w:rPr>
        <w:t xml:space="preserve"> is introduced, p</w:t>
      </w:r>
      <w:r w:rsidRPr="00AE19DD">
        <w:rPr>
          <w:rFonts w:ascii="Arial" w:hAnsi="Arial" w:cs="Arial"/>
          <w:sz w:val="20"/>
          <w:szCs w:val="20"/>
        </w:rPr>
        <w:t>urchase or</w:t>
      </w:r>
      <w:r>
        <w:rPr>
          <w:rFonts w:ascii="Arial" w:hAnsi="Arial" w:cs="Arial"/>
          <w:sz w:val="20"/>
          <w:szCs w:val="20"/>
        </w:rPr>
        <w:t>der numbers and cost centres will</w:t>
      </w:r>
      <w:r w:rsidRPr="00AE19DD">
        <w:rPr>
          <w:rFonts w:ascii="Arial" w:hAnsi="Arial" w:cs="Arial"/>
          <w:sz w:val="20"/>
          <w:szCs w:val="20"/>
        </w:rPr>
        <w:t xml:space="preserve"> be held within the system and received utility </w:t>
      </w:r>
      <w:r>
        <w:rPr>
          <w:rFonts w:ascii="Arial" w:hAnsi="Arial" w:cs="Arial"/>
          <w:sz w:val="20"/>
          <w:szCs w:val="20"/>
        </w:rPr>
        <w:t>invoices will</w:t>
      </w:r>
      <w:r w:rsidRPr="00AE19DD">
        <w:rPr>
          <w:rFonts w:ascii="Arial" w:hAnsi="Arial" w:cs="Arial"/>
          <w:sz w:val="20"/>
          <w:szCs w:val="20"/>
        </w:rPr>
        <w:t xml:space="preserve"> be validated, accepted and passed directly into Oracle for payment against the relevant cost centre.  This will remove the lag time between actual charges and costs being allocated to Route cost centres.  However, Routes will be responsible for ensuring that Energy Management are updated with any cost centre changes to ensure that </w:t>
      </w:r>
      <w:proofErr w:type="spellStart"/>
      <w:r w:rsidRPr="00AE19DD">
        <w:rPr>
          <w:rFonts w:ascii="Arial" w:hAnsi="Arial" w:cs="Arial"/>
          <w:sz w:val="20"/>
          <w:szCs w:val="20"/>
        </w:rPr>
        <w:t>mis</w:t>
      </w:r>
      <w:proofErr w:type="spellEnd"/>
      <w:r w:rsidRPr="00AE19DD">
        <w:rPr>
          <w:rFonts w:ascii="Arial" w:hAnsi="Arial" w:cs="Arial"/>
          <w:sz w:val="20"/>
          <w:szCs w:val="20"/>
        </w:rPr>
        <w:t>-posting does not occur.</w:t>
      </w:r>
      <w:r>
        <w:rPr>
          <w:rFonts w:ascii="Arial" w:hAnsi="Arial" w:cs="Arial"/>
          <w:sz w:val="20"/>
          <w:szCs w:val="20"/>
        </w:rPr>
        <w:t xml:space="preserve"> </w:t>
      </w:r>
      <w:r w:rsidRPr="00AE19DD">
        <w:rPr>
          <w:rFonts w:ascii="Arial" w:hAnsi="Arial" w:cs="Arial"/>
          <w:sz w:val="20"/>
          <w:szCs w:val="20"/>
        </w:rPr>
        <w:t>Through an online platform, Routes will be able to access utility consumption and cost information at different levels of granularity, from route total down to individual invoice level if required.  Reporting within the system can be tailored to meet specific requirements.</w:t>
      </w:r>
    </w:p>
    <w:p w:rsidR="00816600" w:rsidRDefault="00816600" w:rsidP="00816600">
      <w:pPr>
        <w:jc w:val="both"/>
        <w:rPr>
          <w:rFonts w:ascii="Arial" w:hAnsi="Arial" w:cs="Arial"/>
          <w:sz w:val="20"/>
          <w:szCs w:val="20"/>
        </w:rPr>
      </w:pPr>
      <w:proofErr w:type="spellStart"/>
      <w:r>
        <w:rPr>
          <w:rFonts w:ascii="Arial" w:hAnsi="Arial" w:cs="Arial"/>
          <w:sz w:val="20"/>
          <w:szCs w:val="20"/>
        </w:rPr>
        <w:t>Energy</w:t>
      </w:r>
      <w:r w:rsidRPr="00BD3FE1">
        <w:rPr>
          <w:rFonts w:ascii="Arial" w:hAnsi="Arial" w:cs="Arial"/>
          <w:sz w:val="20"/>
          <w:szCs w:val="20"/>
        </w:rPr>
        <w:t>Link</w:t>
      </w:r>
      <w:proofErr w:type="spellEnd"/>
      <w:r w:rsidRPr="00BD3FE1">
        <w:rPr>
          <w:rFonts w:ascii="Arial" w:hAnsi="Arial" w:cs="Arial"/>
          <w:sz w:val="20"/>
          <w:szCs w:val="20"/>
        </w:rPr>
        <w:t xml:space="preserve"> will go live on 1st April 2016.  However the pass through cost functionality will not be ready at that time.  It is envisaged that this will be implemented 2-4 months after go-live, for ease of accountancy and transparency, the reconciliation and co</w:t>
      </w:r>
      <w:r>
        <w:rPr>
          <w:rFonts w:ascii="Arial" w:hAnsi="Arial" w:cs="Arial"/>
          <w:sz w:val="20"/>
          <w:szCs w:val="20"/>
        </w:rPr>
        <w:t>mmencement of pass-through cost</w:t>
      </w:r>
      <w:r w:rsidRPr="00BD3FE1">
        <w:rPr>
          <w:rFonts w:ascii="Arial" w:hAnsi="Arial" w:cs="Arial"/>
          <w:sz w:val="20"/>
          <w:szCs w:val="20"/>
        </w:rPr>
        <w:t xml:space="preserve">s will occur either at the end of Q1 or Q2 of </w:t>
      </w:r>
      <w:r>
        <w:rPr>
          <w:rFonts w:ascii="Arial" w:hAnsi="Arial" w:cs="Arial"/>
          <w:sz w:val="20"/>
          <w:szCs w:val="20"/>
        </w:rPr>
        <w:t>FY17</w:t>
      </w:r>
      <w:r w:rsidRPr="00BD3FE1">
        <w:rPr>
          <w:rFonts w:ascii="Arial" w:hAnsi="Arial" w:cs="Arial"/>
          <w:sz w:val="20"/>
          <w:szCs w:val="20"/>
        </w:rPr>
        <w:t>.</w:t>
      </w:r>
    </w:p>
    <w:p w:rsidR="00816600" w:rsidRDefault="00816600" w:rsidP="00816600">
      <w:pPr>
        <w:jc w:val="both"/>
        <w:rPr>
          <w:rFonts w:ascii="Arial" w:hAnsi="Arial" w:cs="Arial"/>
          <w:sz w:val="20"/>
          <w:szCs w:val="20"/>
        </w:rPr>
      </w:pPr>
      <w:r>
        <w:rPr>
          <w:rFonts w:ascii="Arial" w:hAnsi="Arial" w:cs="Arial"/>
          <w:sz w:val="20"/>
          <w:szCs w:val="20"/>
        </w:rPr>
        <w:t xml:space="preserve">An updated process note will be submitted to FRGC prior to roll out of </w:t>
      </w:r>
      <w:proofErr w:type="spellStart"/>
      <w:r>
        <w:rPr>
          <w:rFonts w:ascii="Arial" w:hAnsi="Arial" w:cs="Arial"/>
          <w:sz w:val="20"/>
          <w:szCs w:val="20"/>
        </w:rPr>
        <w:t>EnergyLink</w:t>
      </w:r>
      <w:proofErr w:type="spellEnd"/>
      <w:r>
        <w:rPr>
          <w:rFonts w:ascii="Arial" w:hAnsi="Arial" w:cs="Arial"/>
          <w:sz w:val="20"/>
          <w:szCs w:val="20"/>
        </w:rPr>
        <w:t xml:space="preserve"> capabilities. </w:t>
      </w:r>
    </w:p>
    <w:p w:rsidR="00816600" w:rsidRDefault="00816600" w:rsidP="00816600">
      <w:pPr>
        <w:jc w:val="both"/>
        <w:rPr>
          <w:rFonts w:ascii="Arial" w:hAnsi="Arial" w:cs="Arial"/>
          <w:sz w:val="20"/>
          <w:szCs w:val="20"/>
        </w:rPr>
      </w:pPr>
      <w:r>
        <w:rPr>
          <w:rFonts w:ascii="Arial" w:hAnsi="Arial" w:cs="Arial"/>
          <w:sz w:val="20"/>
          <w:szCs w:val="20"/>
        </w:rPr>
        <w:t xml:space="preserve">In the interim, the cost accounting method outlined above will be adhered to. </w:t>
      </w:r>
    </w:p>
    <w:p w:rsidR="00816600" w:rsidRDefault="00816600" w:rsidP="00816600">
      <w:pPr>
        <w:jc w:val="both"/>
        <w:rPr>
          <w:rFonts w:ascii="Arial" w:hAnsi="Arial" w:cs="Arial"/>
          <w:sz w:val="20"/>
          <w:szCs w:val="20"/>
        </w:rPr>
      </w:pPr>
      <w:r>
        <w:rPr>
          <w:rFonts w:ascii="Arial" w:hAnsi="Arial" w:cs="Arial"/>
          <w:b/>
          <w:sz w:val="20"/>
          <w:szCs w:val="20"/>
        </w:rPr>
        <w:t xml:space="preserve">Senior Management Accountant, STE </w:t>
      </w:r>
      <w:r>
        <w:rPr>
          <w:rFonts w:ascii="Arial" w:hAnsi="Arial" w:cs="Arial"/>
          <w:sz w:val="20"/>
          <w:szCs w:val="20"/>
        </w:rPr>
        <w:t>will be responsible for accounting for energy and posting the journals to the routes</w:t>
      </w:r>
    </w:p>
    <w:p w:rsidR="00816600" w:rsidRPr="00816600" w:rsidRDefault="00816600" w:rsidP="00BD3FE1">
      <w:pPr>
        <w:jc w:val="both"/>
        <w:rPr>
          <w:rFonts w:ascii="Arial" w:hAnsi="Arial" w:cs="Arial"/>
          <w:sz w:val="20"/>
          <w:szCs w:val="20"/>
          <w:u w:val="single"/>
        </w:rPr>
      </w:pPr>
      <w:r>
        <w:rPr>
          <w:rFonts w:ascii="Arial" w:hAnsi="Arial" w:cs="Arial"/>
          <w:b/>
          <w:sz w:val="20"/>
          <w:szCs w:val="20"/>
        </w:rPr>
        <w:t xml:space="preserve">Management Accountants, Routes/Areas </w:t>
      </w:r>
      <w:r>
        <w:rPr>
          <w:rFonts w:ascii="Arial" w:hAnsi="Arial" w:cs="Arial"/>
          <w:sz w:val="20"/>
          <w:szCs w:val="20"/>
        </w:rPr>
        <w:t>will be responsible for monitoring energy consumption and accruing where necessary</w:t>
      </w:r>
    </w:p>
    <w:p w:rsidR="00265763" w:rsidRDefault="009350DE" w:rsidP="00BD3FE1">
      <w:pPr>
        <w:jc w:val="both"/>
        <w:rPr>
          <w:rFonts w:ascii="Arial" w:hAnsi="Arial" w:cs="Arial"/>
          <w:sz w:val="20"/>
          <w:szCs w:val="20"/>
          <w:u w:val="single"/>
        </w:rPr>
      </w:pPr>
      <w:r w:rsidRPr="00294E04">
        <w:rPr>
          <w:rFonts w:ascii="Arial" w:hAnsi="Arial" w:cs="Arial"/>
          <w:sz w:val="20"/>
          <w:szCs w:val="20"/>
        </w:rPr>
        <w:t>3.1</w:t>
      </w:r>
      <w:r w:rsidR="00294E04">
        <w:rPr>
          <w:rFonts w:ascii="Arial" w:hAnsi="Arial" w:cs="Arial"/>
          <w:sz w:val="20"/>
          <w:szCs w:val="20"/>
        </w:rPr>
        <w:t>.</w:t>
      </w:r>
      <w:r w:rsidRPr="00294E04">
        <w:rPr>
          <w:rFonts w:ascii="Arial" w:hAnsi="Arial" w:cs="Arial"/>
          <w:sz w:val="20"/>
          <w:szCs w:val="20"/>
        </w:rPr>
        <w:t xml:space="preserve"> </w:t>
      </w:r>
      <w:r w:rsidR="00BD3FE1">
        <w:rPr>
          <w:rFonts w:ascii="Arial" w:hAnsi="Arial" w:cs="Arial"/>
          <w:sz w:val="20"/>
          <w:szCs w:val="20"/>
          <w:u w:val="single"/>
        </w:rPr>
        <w:t xml:space="preserve">Phase 2 </w:t>
      </w:r>
      <w:r w:rsidR="00265763">
        <w:rPr>
          <w:rFonts w:ascii="Arial" w:hAnsi="Arial" w:cs="Arial"/>
          <w:sz w:val="20"/>
          <w:szCs w:val="20"/>
          <w:u w:val="single"/>
        </w:rPr>
        <w:t xml:space="preserve">– </w:t>
      </w:r>
      <w:r w:rsidR="00816600">
        <w:rPr>
          <w:rFonts w:ascii="Arial" w:hAnsi="Arial" w:cs="Arial"/>
          <w:sz w:val="20"/>
          <w:szCs w:val="20"/>
          <w:u w:val="single"/>
        </w:rPr>
        <w:t xml:space="preserve">costs (to be updated following </w:t>
      </w:r>
      <w:proofErr w:type="spellStart"/>
      <w:r w:rsidR="00816600">
        <w:rPr>
          <w:rFonts w:ascii="Arial" w:hAnsi="Arial" w:cs="Arial"/>
          <w:sz w:val="20"/>
          <w:szCs w:val="20"/>
          <w:u w:val="single"/>
        </w:rPr>
        <w:t>EnergyLink</w:t>
      </w:r>
      <w:proofErr w:type="spellEnd"/>
      <w:r w:rsidR="00816600">
        <w:rPr>
          <w:rFonts w:ascii="Arial" w:hAnsi="Arial" w:cs="Arial"/>
          <w:sz w:val="20"/>
          <w:szCs w:val="20"/>
          <w:u w:val="single"/>
        </w:rPr>
        <w:t xml:space="preserve"> go-live)</w:t>
      </w:r>
    </w:p>
    <w:p w:rsidR="009350DE" w:rsidRPr="00FA7171" w:rsidRDefault="009350DE" w:rsidP="009350DE">
      <w:pPr>
        <w:jc w:val="both"/>
        <w:rPr>
          <w:rFonts w:ascii="Arial" w:hAnsi="Arial" w:cs="Arial"/>
          <w:sz w:val="20"/>
          <w:szCs w:val="20"/>
        </w:rPr>
      </w:pPr>
      <w:r w:rsidRPr="00FA7171">
        <w:rPr>
          <w:rFonts w:ascii="Arial" w:hAnsi="Arial" w:cs="Arial"/>
          <w:sz w:val="20"/>
          <w:szCs w:val="20"/>
        </w:rPr>
        <w:t xml:space="preserve">The process of apportioning costs for energy consumption is dependent on the </w:t>
      </w:r>
      <w:proofErr w:type="spellStart"/>
      <w:r w:rsidRPr="00FA7171">
        <w:rPr>
          <w:rFonts w:ascii="Arial" w:hAnsi="Arial" w:cs="Arial"/>
          <w:sz w:val="20"/>
          <w:szCs w:val="20"/>
        </w:rPr>
        <w:t>EnergyLink</w:t>
      </w:r>
      <w:proofErr w:type="spellEnd"/>
      <w:r w:rsidRPr="00FA7171">
        <w:rPr>
          <w:rFonts w:ascii="Arial" w:hAnsi="Arial" w:cs="Arial"/>
          <w:sz w:val="20"/>
          <w:szCs w:val="20"/>
        </w:rPr>
        <w:t xml:space="preserve"> functionality and interface with Oracle.</w:t>
      </w:r>
    </w:p>
    <w:p w:rsidR="00816600" w:rsidRPr="00816600" w:rsidRDefault="00BD3FE1" w:rsidP="00BD3FE1">
      <w:pPr>
        <w:jc w:val="both"/>
        <w:rPr>
          <w:rFonts w:ascii="Arial" w:hAnsi="Arial" w:cs="Arial"/>
          <w:color w:val="FF0000"/>
          <w:sz w:val="20"/>
          <w:szCs w:val="20"/>
        </w:rPr>
      </w:pPr>
      <w:r w:rsidRPr="00BD3FE1">
        <w:rPr>
          <w:rFonts w:ascii="Arial" w:hAnsi="Arial" w:cs="Arial"/>
          <w:sz w:val="20"/>
          <w:szCs w:val="20"/>
        </w:rPr>
        <w:t>With 87% of the 8500 metres being supporte</w:t>
      </w:r>
      <w:r w:rsidR="00816600">
        <w:rPr>
          <w:rFonts w:ascii="Arial" w:hAnsi="Arial" w:cs="Arial"/>
          <w:sz w:val="20"/>
          <w:szCs w:val="20"/>
        </w:rPr>
        <w:t xml:space="preserve">d by half hourly data </w:t>
      </w:r>
      <w:r w:rsidR="00927173">
        <w:rPr>
          <w:rFonts w:ascii="Arial" w:hAnsi="Arial" w:cs="Arial"/>
          <w:sz w:val="20"/>
          <w:szCs w:val="20"/>
        </w:rPr>
        <w:t>it will be</w:t>
      </w:r>
      <w:r w:rsidRPr="00BD3FE1">
        <w:rPr>
          <w:rFonts w:ascii="Arial" w:hAnsi="Arial" w:cs="Arial"/>
          <w:sz w:val="20"/>
          <w:szCs w:val="20"/>
        </w:rPr>
        <w:t xml:space="preserve"> feasible to move away from a period lag to a couple of days.</w:t>
      </w:r>
      <w:r w:rsidR="00816600">
        <w:rPr>
          <w:rFonts w:ascii="Arial" w:hAnsi="Arial" w:cs="Arial"/>
          <w:sz w:val="20"/>
          <w:szCs w:val="20"/>
        </w:rPr>
        <w:t xml:space="preserve"> Billing will be automated through </w:t>
      </w:r>
      <w:proofErr w:type="spellStart"/>
      <w:r w:rsidR="00816600">
        <w:rPr>
          <w:rFonts w:ascii="Arial" w:hAnsi="Arial" w:cs="Arial"/>
          <w:sz w:val="20"/>
          <w:szCs w:val="20"/>
        </w:rPr>
        <w:t>EnergyLink</w:t>
      </w:r>
      <w:proofErr w:type="spellEnd"/>
      <w:r w:rsidR="00816600">
        <w:rPr>
          <w:rFonts w:ascii="Arial" w:hAnsi="Arial" w:cs="Arial"/>
          <w:sz w:val="20"/>
          <w:szCs w:val="20"/>
        </w:rPr>
        <w:t xml:space="preserve"> when live, with direct interface in Oracle via Accounts Payable. Invoices will be approved and validated by the Energy Management </w:t>
      </w:r>
      <w:r w:rsidR="00816600" w:rsidRPr="00814F50">
        <w:rPr>
          <w:rFonts w:ascii="Arial" w:hAnsi="Arial" w:cs="Arial"/>
          <w:color w:val="000000" w:themeColor="text1"/>
          <w:sz w:val="20"/>
          <w:szCs w:val="20"/>
        </w:rPr>
        <w:t xml:space="preserve">team. </w:t>
      </w:r>
      <w:r w:rsidR="00816600">
        <w:rPr>
          <w:rFonts w:ascii="Arial" w:hAnsi="Arial" w:cs="Arial"/>
          <w:sz w:val="20"/>
          <w:szCs w:val="20"/>
        </w:rPr>
        <w:t>Issues flagged during validation that cannot be resolved</w:t>
      </w:r>
      <w:r w:rsidR="00814F50">
        <w:rPr>
          <w:rFonts w:ascii="Arial" w:hAnsi="Arial" w:cs="Arial"/>
          <w:sz w:val="20"/>
          <w:szCs w:val="20"/>
        </w:rPr>
        <w:t xml:space="preserve"> centrally</w:t>
      </w:r>
      <w:r w:rsidR="00816600">
        <w:rPr>
          <w:rFonts w:ascii="Arial" w:hAnsi="Arial" w:cs="Arial"/>
          <w:sz w:val="20"/>
          <w:szCs w:val="20"/>
        </w:rPr>
        <w:t xml:space="preserve"> will be highlighted to routes</w:t>
      </w:r>
      <w:r w:rsidR="00814F50">
        <w:rPr>
          <w:rFonts w:ascii="Arial" w:hAnsi="Arial" w:cs="Arial"/>
          <w:sz w:val="20"/>
          <w:szCs w:val="20"/>
        </w:rPr>
        <w:t>.</w:t>
      </w:r>
    </w:p>
    <w:p w:rsidR="00FA7171" w:rsidRPr="00FA7171" w:rsidRDefault="00FA7171" w:rsidP="00FA7171">
      <w:pPr>
        <w:jc w:val="both"/>
        <w:rPr>
          <w:rFonts w:ascii="Arial" w:hAnsi="Arial" w:cs="Arial"/>
          <w:sz w:val="20"/>
          <w:szCs w:val="20"/>
          <w:u w:val="single"/>
        </w:rPr>
      </w:pPr>
      <w:r>
        <w:rPr>
          <w:rFonts w:ascii="Arial" w:hAnsi="Arial" w:cs="Arial"/>
          <w:b/>
          <w:sz w:val="20"/>
          <w:szCs w:val="20"/>
        </w:rPr>
        <w:t xml:space="preserve">Management Accountants, Routes/Areas </w:t>
      </w:r>
      <w:r>
        <w:rPr>
          <w:rFonts w:ascii="Arial" w:hAnsi="Arial" w:cs="Arial"/>
          <w:sz w:val="20"/>
          <w:szCs w:val="20"/>
        </w:rPr>
        <w:t>will be responsible for monitoring energy consumption and accruing where necessary</w:t>
      </w:r>
      <w:r w:rsidR="00816600">
        <w:rPr>
          <w:rFonts w:ascii="Arial" w:hAnsi="Arial" w:cs="Arial"/>
          <w:sz w:val="20"/>
          <w:szCs w:val="20"/>
        </w:rPr>
        <w:t xml:space="preserve"> </w:t>
      </w:r>
    </w:p>
    <w:p w:rsidR="00645A9D" w:rsidRPr="00814F50" w:rsidRDefault="00645A9D" w:rsidP="00645A9D">
      <w:pPr>
        <w:jc w:val="both"/>
        <w:rPr>
          <w:rFonts w:ascii="Arial" w:hAnsi="Arial" w:cs="Arial"/>
          <w:sz w:val="20"/>
          <w:szCs w:val="20"/>
        </w:rPr>
      </w:pPr>
      <w:r w:rsidRPr="00814F50">
        <w:rPr>
          <w:rFonts w:ascii="Arial" w:hAnsi="Arial" w:cs="Arial"/>
          <w:sz w:val="20"/>
          <w:szCs w:val="20"/>
        </w:rPr>
        <w:t xml:space="preserve">In the interim invoices will still be processed centrally </w:t>
      </w:r>
      <w:r w:rsidR="00814F50">
        <w:rPr>
          <w:rFonts w:ascii="Arial" w:hAnsi="Arial" w:cs="Arial"/>
          <w:sz w:val="20"/>
          <w:szCs w:val="20"/>
        </w:rPr>
        <w:t xml:space="preserve">as in Phase 1, costs will be allocated to routes via a journal. </w:t>
      </w:r>
    </w:p>
    <w:p w:rsidR="009350DE" w:rsidRDefault="009350DE" w:rsidP="009350DE">
      <w:pPr>
        <w:jc w:val="both"/>
        <w:rPr>
          <w:rFonts w:ascii="Arial" w:hAnsi="Arial" w:cs="Arial"/>
          <w:sz w:val="20"/>
          <w:szCs w:val="20"/>
          <w:u w:val="single"/>
        </w:rPr>
      </w:pPr>
      <w:r w:rsidRPr="00294E04">
        <w:rPr>
          <w:rFonts w:ascii="Arial" w:hAnsi="Arial" w:cs="Arial"/>
          <w:sz w:val="20"/>
          <w:szCs w:val="20"/>
        </w:rPr>
        <w:t>3.2</w:t>
      </w:r>
      <w:r w:rsidR="00294E04">
        <w:rPr>
          <w:rFonts w:ascii="Arial" w:hAnsi="Arial" w:cs="Arial"/>
          <w:sz w:val="20"/>
          <w:szCs w:val="20"/>
        </w:rPr>
        <w:t>.</w:t>
      </w:r>
      <w:r w:rsidRPr="00294E04">
        <w:rPr>
          <w:rFonts w:ascii="Arial" w:hAnsi="Arial" w:cs="Arial"/>
          <w:sz w:val="20"/>
          <w:szCs w:val="20"/>
        </w:rPr>
        <w:t xml:space="preserve"> </w:t>
      </w:r>
      <w:r>
        <w:rPr>
          <w:rFonts w:ascii="Arial" w:hAnsi="Arial" w:cs="Arial"/>
          <w:sz w:val="20"/>
          <w:szCs w:val="20"/>
          <w:u w:val="single"/>
        </w:rPr>
        <w:t xml:space="preserve">Phase 2 – income </w:t>
      </w:r>
    </w:p>
    <w:p w:rsidR="009350DE" w:rsidRPr="00FA7171" w:rsidRDefault="00AE19DD" w:rsidP="00FA7171">
      <w:pPr>
        <w:jc w:val="both"/>
        <w:rPr>
          <w:rFonts w:ascii="Arial" w:hAnsi="Arial" w:cs="Arial"/>
          <w:sz w:val="20"/>
          <w:szCs w:val="20"/>
        </w:rPr>
      </w:pPr>
      <w:r>
        <w:rPr>
          <w:rFonts w:ascii="Arial" w:hAnsi="Arial" w:cs="Arial"/>
          <w:sz w:val="20"/>
          <w:szCs w:val="20"/>
        </w:rPr>
        <w:t xml:space="preserve">The process for income is not expected to change following </w:t>
      </w:r>
      <w:proofErr w:type="spellStart"/>
      <w:r>
        <w:rPr>
          <w:rFonts w:ascii="Arial" w:hAnsi="Arial" w:cs="Arial"/>
          <w:sz w:val="20"/>
          <w:szCs w:val="20"/>
        </w:rPr>
        <w:t>EnergyLink</w:t>
      </w:r>
      <w:proofErr w:type="spellEnd"/>
      <w:r>
        <w:rPr>
          <w:rFonts w:ascii="Arial" w:hAnsi="Arial" w:cs="Arial"/>
          <w:sz w:val="20"/>
          <w:szCs w:val="20"/>
        </w:rPr>
        <w:t xml:space="preserve"> go-live, b</w:t>
      </w:r>
      <w:r w:rsidR="00182F82">
        <w:rPr>
          <w:rFonts w:ascii="Arial" w:hAnsi="Arial" w:cs="Arial"/>
          <w:sz w:val="20"/>
          <w:szCs w:val="20"/>
        </w:rPr>
        <w:t>ut it will be improved by better</w:t>
      </w:r>
      <w:r>
        <w:rPr>
          <w:rFonts w:ascii="Arial" w:hAnsi="Arial" w:cs="Arial"/>
          <w:sz w:val="20"/>
          <w:szCs w:val="20"/>
        </w:rPr>
        <w:t xml:space="preserve"> quality data. T</w:t>
      </w:r>
      <w:r w:rsidR="009350DE">
        <w:rPr>
          <w:rFonts w:ascii="Arial" w:hAnsi="Arial" w:cs="Arial"/>
          <w:sz w:val="20"/>
          <w:szCs w:val="20"/>
        </w:rPr>
        <w:t xml:space="preserve">he actual process for off-charging will be done by the </w:t>
      </w:r>
      <w:r>
        <w:rPr>
          <w:rFonts w:ascii="Arial" w:hAnsi="Arial" w:cs="Arial"/>
          <w:sz w:val="20"/>
          <w:szCs w:val="20"/>
        </w:rPr>
        <w:t xml:space="preserve">Energy Management </w:t>
      </w:r>
      <w:r w:rsidR="009350DE">
        <w:rPr>
          <w:rFonts w:ascii="Arial" w:hAnsi="Arial" w:cs="Arial"/>
          <w:sz w:val="20"/>
          <w:szCs w:val="20"/>
        </w:rPr>
        <w:t xml:space="preserve">team, </w:t>
      </w:r>
      <w:r>
        <w:rPr>
          <w:rFonts w:ascii="Arial" w:hAnsi="Arial" w:cs="Arial"/>
          <w:sz w:val="20"/>
          <w:szCs w:val="20"/>
        </w:rPr>
        <w:t>but will be reliant on the</w:t>
      </w:r>
      <w:r w:rsidR="009350DE">
        <w:rPr>
          <w:rFonts w:ascii="Arial" w:hAnsi="Arial" w:cs="Arial"/>
          <w:sz w:val="20"/>
          <w:szCs w:val="20"/>
        </w:rPr>
        <w:t xml:space="preserve"> routes </w:t>
      </w:r>
      <w:r>
        <w:rPr>
          <w:rFonts w:ascii="Arial" w:hAnsi="Arial" w:cs="Arial"/>
          <w:sz w:val="20"/>
          <w:szCs w:val="20"/>
        </w:rPr>
        <w:t>identifying</w:t>
      </w:r>
      <w:r w:rsidR="009350DE">
        <w:rPr>
          <w:rFonts w:ascii="Arial" w:hAnsi="Arial" w:cs="Arial"/>
          <w:sz w:val="20"/>
          <w:szCs w:val="20"/>
        </w:rPr>
        <w:t xml:space="preserve"> opportunities</w:t>
      </w:r>
      <w:r>
        <w:rPr>
          <w:rFonts w:ascii="Arial" w:hAnsi="Arial" w:cs="Arial"/>
          <w:sz w:val="20"/>
          <w:szCs w:val="20"/>
        </w:rPr>
        <w:t xml:space="preserve">. Routes will be responsible for making sure that commercial relationships are in place to avoid bad debt risk. </w:t>
      </w:r>
    </w:p>
    <w:p w:rsidR="009350DE" w:rsidRDefault="009350DE" w:rsidP="009350DE">
      <w:pPr>
        <w:jc w:val="both"/>
        <w:rPr>
          <w:rFonts w:ascii="Arial" w:hAnsi="Arial" w:cs="Arial"/>
          <w:sz w:val="20"/>
          <w:szCs w:val="20"/>
          <w:u w:val="single"/>
        </w:rPr>
      </w:pPr>
      <w:r w:rsidRPr="00294E04">
        <w:rPr>
          <w:rFonts w:ascii="Arial" w:hAnsi="Arial" w:cs="Arial"/>
          <w:sz w:val="20"/>
          <w:szCs w:val="20"/>
        </w:rPr>
        <w:t>3.2</w:t>
      </w:r>
      <w:r w:rsidR="00294E04">
        <w:rPr>
          <w:rFonts w:ascii="Arial" w:hAnsi="Arial" w:cs="Arial"/>
          <w:sz w:val="20"/>
          <w:szCs w:val="20"/>
        </w:rPr>
        <w:t>.</w:t>
      </w:r>
      <w:r w:rsidRPr="00294E04">
        <w:rPr>
          <w:rFonts w:ascii="Arial" w:hAnsi="Arial" w:cs="Arial"/>
          <w:sz w:val="20"/>
          <w:szCs w:val="20"/>
        </w:rPr>
        <w:t xml:space="preserve"> </w:t>
      </w:r>
      <w:r>
        <w:rPr>
          <w:rFonts w:ascii="Arial" w:hAnsi="Arial" w:cs="Arial"/>
          <w:sz w:val="20"/>
          <w:szCs w:val="20"/>
          <w:u w:val="single"/>
        </w:rPr>
        <w:t xml:space="preserve">Phase 2 – debt  </w:t>
      </w:r>
    </w:p>
    <w:p w:rsidR="00FA7171" w:rsidRPr="00FA7171" w:rsidRDefault="00FA7171" w:rsidP="00FA7171">
      <w:pPr>
        <w:jc w:val="both"/>
        <w:rPr>
          <w:rFonts w:ascii="Arial" w:hAnsi="Arial" w:cs="Arial"/>
          <w:sz w:val="20"/>
          <w:szCs w:val="20"/>
        </w:rPr>
      </w:pPr>
      <w:r w:rsidRPr="00FA7171">
        <w:rPr>
          <w:rFonts w:ascii="Arial" w:hAnsi="Arial" w:cs="Arial"/>
          <w:sz w:val="20"/>
          <w:szCs w:val="20"/>
        </w:rPr>
        <w:t>Any debt – i.e. invoices not paid after 6 month</w:t>
      </w:r>
      <w:r w:rsidR="001F465C">
        <w:rPr>
          <w:rFonts w:ascii="Arial" w:hAnsi="Arial" w:cs="Arial"/>
          <w:sz w:val="20"/>
          <w:szCs w:val="20"/>
        </w:rPr>
        <w:t>s is currently debited to the Energy Management</w:t>
      </w:r>
      <w:r w:rsidRPr="00FA7171">
        <w:rPr>
          <w:rFonts w:ascii="Arial" w:hAnsi="Arial" w:cs="Arial"/>
          <w:sz w:val="20"/>
          <w:szCs w:val="20"/>
        </w:rPr>
        <w:t xml:space="preserve"> P&amp;L. This will in future be allocated to routes </w:t>
      </w:r>
      <w:r w:rsidR="00A93BD3">
        <w:rPr>
          <w:rFonts w:ascii="Arial" w:hAnsi="Arial" w:cs="Arial"/>
          <w:sz w:val="20"/>
          <w:szCs w:val="20"/>
        </w:rPr>
        <w:t xml:space="preserve">now receiving the income stream, via Financial Shared Services. </w:t>
      </w:r>
    </w:p>
    <w:p w:rsidR="00FA7171" w:rsidRPr="00FA7171" w:rsidRDefault="00FA7171" w:rsidP="001F465C">
      <w:pPr>
        <w:spacing w:after="80" w:line="240" w:lineRule="auto"/>
        <w:jc w:val="both"/>
        <w:rPr>
          <w:rFonts w:ascii="Arial" w:hAnsi="Arial" w:cs="Arial"/>
          <w:sz w:val="20"/>
          <w:szCs w:val="20"/>
        </w:rPr>
      </w:pPr>
      <w:r w:rsidRPr="00FA7171">
        <w:rPr>
          <w:rFonts w:ascii="Arial" w:hAnsi="Arial" w:cs="Arial"/>
          <w:sz w:val="20"/>
          <w:szCs w:val="20"/>
        </w:rPr>
        <w:t>Income and debt is current processed against cost centre 338752 on the following account codes:</w:t>
      </w:r>
    </w:p>
    <w:p w:rsidR="00FA7171" w:rsidRPr="00FA7171" w:rsidRDefault="00FA7171" w:rsidP="001F465C">
      <w:pPr>
        <w:spacing w:after="80" w:line="240" w:lineRule="auto"/>
        <w:jc w:val="both"/>
        <w:rPr>
          <w:rFonts w:ascii="Arial" w:hAnsi="Arial" w:cs="Arial"/>
          <w:sz w:val="20"/>
          <w:szCs w:val="20"/>
        </w:rPr>
      </w:pPr>
      <w:r w:rsidRPr="00FA7171">
        <w:rPr>
          <w:rFonts w:ascii="Arial" w:hAnsi="Arial" w:cs="Arial"/>
          <w:sz w:val="20"/>
          <w:szCs w:val="20"/>
        </w:rPr>
        <w:t xml:space="preserve">093110 </w:t>
      </w:r>
      <w:proofErr w:type="spellStart"/>
      <w:r w:rsidRPr="00FA7171">
        <w:rPr>
          <w:rFonts w:ascii="Arial" w:hAnsi="Arial" w:cs="Arial"/>
          <w:sz w:val="20"/>
          <w:szCs w:val="20"/>
        </w:rPr>
        <w:t>Util</w:t>
      </w:r>
      <w:proofErr w:type="spellEnd"/>
      <w:r w:rsidRPr="00FA7171">
        <w:rPr>
          <w:rFonts w:ascii="Arial" w:hAnsi="Arial" w:cs="Arial"/>
          <w:sz w:val="20"/>
          <w:szCs w:val="20"/>
        </w:rPr>
        <w:t xml:space="preserve"> </w:t>
      </w:r>
      <w:proofErr w:type="spellStart"/>
      <w:r w:rsidRPr="00FA7171">
        <w:rPr>
          <w:rFonts w:ascii="Arial" w:hAnsi="Arial" w:cs="Arial"/>
          <w:sz w:val="20"/>
          <w:szCs w:val="20"/>
        </w:rPr>
        <w:t>Recov</w:t>
      </w:r>
      <w:proofErr w:type="spellEnd"/>
      <w:r w:rsidRPr="00FA7171">
        <w:rPr>
          <w:rFonts w:ascii="Arial" w:hAnsi="Arial" w:cs="Arial"/>
          <w:sz w:val="20"/>
          <w:szCs w:val="20"/>
        </w:rPr>
        <w:t>-Electric</w:t>
      </w:r>
    </w:p>
    <w:p w:rsidR="00FA7171" w:rsidRPr="00FA7171" w:rsidRDefault="00FA7171" w:rsidP="001F465C">
      <w:pPr>
        <w:spacing w:after="80" w:line="240" w:lineRule="auto"/>
        <w:jc w:val="both"/>
        <w:rPr>
          <w:rFonts w:ascii="Arial" w:hAnsi="Arial" w:cs="Arial"/>
          <w:sz w:val="20"/>
          <w:szCs w:val="20"/>
        </w:rPr>
      </w:pPr>
      <w:r w:rsidRPr="00FA7171">
        <w:rPr>
          <w:rFonts w:ascii="Arial" w:hAnsi="Arial" w:cs="Arial"/>
          <w:sz w:val="20"/>
          <w:szCs w:val="20"/>
        </w:rPr>
        <w:lastRenderedPageBreak/>
        <w:t xml:space="preserve">093120 </w:t>
      </w:r>
      <w:proofErr w:type="spellStart"/>
      <w:r w:rsidRPr="00FA7171">
        <w:rPr>
          <w:rFonts w:ascii="Arial" w:hAnsi="Arial" w:cs="Arial"/>
          <w:sz w:val="20"/>
          <w:szCs w:val="20"/>
        </w:rPr>
        <w:t>Util</w:t>
      </w:r>
      <w:proofErr w:type="spellEnd"/>
      <w:r w:rsidRPr="00FA7171">
        <w:rPr>
          <w:rFonts w:ascii="Arial" w:hAnsi="Arial" w:cs="Arial"/>
          <w:sz w:val="20"/>
          <w:szCs w:val="20"/>
        </w:rPr>
        <w:t xml:space="preserve"> Recovery - Gas</w:t>
      </w:r>
    </w:p>
    <w:p w:rsidR="00FA7171" w:rsidRPr="00FA7171" w:rsidRDefault="00FA7171" w:rsidP="001F465C">
      <w:pPr>
        <w:spacing w:after="80" w:line="240" w:lineRule="auto"/>
        <w:jc w:val="both"/>
        <w:rPr>
          <w:rFonts w:ascii="Arial" w:hAnsi="Arial" w:cs="Arial"/>
          <w:sz w:val="20"/>
          <w:szCs w:val="20"/>
        </w:rPr>
      </w:pPr>
      <w:r w:rsidRPr="00FA7171">
        <w:rPr>
          <w:rFonts w:ascii="Arial" w:hAnsi="Arial" w:cs="Arial"/>
          <w:sz w:val="20"/>
          <w:szCs w:val="20"/>
        </w:rPr>
        <w:t xml:space="preserve">093130 Utility </w:t>
      </w:r>
      <w:proofErr w:type="spellStart"/>
      <w:r w:rsidRPr="00FA7171">
        <w:rPr>
          <w:rFonts w:ascii="Arial" w:hAnsi="Arial" w:cs="Arial"/>
          <w:sz w:val="20"/>
          <w:szCs w:val="20"/>
        </w:rPr>
        <w:t>Recov</w:t>
      </w:r>
      <w:proofErr w:type="spellEnd"/>
      <w:r w:rsidRPr="00FA7171">
        <w:rPr>
          <w:rFonts w:ascii="Arial" w:hAnsi="Arial" w:cs="Arial"/>
          <w:sz w:val="20"/>
          <w:szCs w:val="20"/>
        </w:rPr>
        <w:t xml:space="preserve"> - Water</w:t>
      </w:r>
    </w:p>
    <w:p w:rsidR="00FA7171" w:rsidRDefault="00FA7171" w:rsidP="001F465C">
      <w:pPr>
        <w:spacing w:after="80" w:line="240" w:lineRule="auto"/>
        <w:jc w:val="both"/>
        <w:rPr>
          <w:rFonts w:ascii="Arial" w:hAnsi="Arial" w:cs="Arial"/>
          <w:sz w:val="20"/>
          <w:szCs w:val="20"/>
        </w:rPr>
      </w:pPr>
      <w:r w:rsidRPr="00FA7171">
        <w:rPr>
          <w:rFonts w:ascii="Arial" w:hAnsi="Arial" w:cs="Arial"/>
          <w:sz w:val="20"/>
          <w:szCs w:val="20"/>
        </w:rPr>
        <w:t xml:space="preserve">093140 </w:t>
      </w:r>
      <w:proofErr w:type="spellStart"/>
      <w:r w:rsidRPr="00FA7171">
        <w:rPr>
          <w:rFonts w:ascii="Arial" w:hAnsi="Arial" w:cs="Arial"/>
          <w:sz w:val="20"/>
          <w:szCs w:val="20"/>
        </w:rPr>
        <w:t>Util</w:t>
      </w:r>
      <w:proofErr w:type="spellEnd"/>
      <w:r w:rsidRPr="00FA7171">
        <w:rPr>
          <w:rFonts w:ascii="Arial" w:hAnsi="Arial" w:cs="Arial"/>
          <w:sz w:val="20"/>
          <w:szCs w:val="20"/>
        </w:rPr>
        <w:t xml:space="preserve"> Recovery </w:t>
      </w:r>
      <w:r>
        <w:rPr>
          <w:rFonts w:ascii="Arial" w:hAnsi="Arial" w:cs="Arial"/>
          <w:sz w:val="20"/>
          <w:szCs w:val="20"/>
        </w:rPr>
        <w:t>–</w:t>
      </w:r>
      <w:r w:rsidRPr="00FA7171">
        <w:rPr>
          <w:rFonts w:ascii="Arial" w:hAnsi="Arial" w:cs="Arial"/>
          <w:sz w:val="20"/>
          <w:szCs w:val="20"/>
        </w:rPr>
        <w:t xml:space="preserve"> Oil</w:t>
      </w:r>
    </w:p>
    <w:p w:rsidR="00FA7171" w:rsidRPr="00FA7171" w:rsidRDefault="00FA7171" w:rsidP="00FA7171">
      <w:pPr>
        <w:jc w:val="both"/>
        <w:rPr>
          <w:rFonts w:ascii="Arial" w:hAnsi="Arial" w:cs="Arial"/>
          <w:sz w:val="20"/>
          <w:szCs w:val="20"/>
        </w:rPr>
      </w:pPr>
      <w:r>
        <w:rPr>
          <w:rFonts w:ascii="Arial" w:hAnsi="Arial" w:cs="Arial"/>
          <w:sz w:val="20"/>
          <w:szCs w:val="20"/>
        </w:rPr>
        <w:t>This will be transferred to routes with the new process.</w:t>
      </w:r>
    </w:p>
    <w:p w:rsidR="00CA6C19" w:rsidRPr="009350DE" w:rsidRDefault="00CA6C19" w:rsidP="009350DE">
      <w:pPr>
        <w:pStyle w:val="ListParagraph"/>
        <w:numPr>
          <w:ilvl w:val="0"/>
          <w:numId w:val="27"/>
        </w:numPr>
        <w:jc w:val="both"/>
        <w:rPr>
          <w:rFonts w:ascii="Arial" w:hAnsi="Arial" w:cs="Arial"/>
          <w:sz w:val="20"/>
          <w:szCs w:val="20"/>
          <w:u w:val="single"/>
        </w:rPr>
      </w:pPr>
      <w:r w:rsidRPr="009350DE">
        <w:rPr>
          <w:rFonts w:ascii="Arial" w:hAnsi="Arial" w:cs="Arial"/>
          <w:sz w:val="20"/>
          <w:szCs w:val="20"/>
          <w:u w:val="single"/>
        </w:rPr>
        <w:t>Phase 3</w:t>
      </w:r>
    </w:p>
    <w:p w:rsidR="00CA6C19" w:rsidRDefault="00CA6C19" w:rsidP="00645A9D">
      <w:pPr>
        <w:jc w:val="both"/>
        <w:rPr>
          <w:rFonts w:ascii="Arial" w:hAnsi="Arial" w:cs="Arial"/>
          <w:sz w:val="20"/>
          <w:szCs w:val="20"/>
        </w:rPr>
      </w:pPr>
      <w:r>
        <w:rPr>
          <w:rFonts w:ascii="Arial" w:hAnsi="Arial" w:cs="Arial"/>
          <w:sz w:val="20"/>
          <w:szCs w:val="20"/>
        </w:rPr>
        <w:t>Phase 3 of the budget will also seek to involve:</w:t>
      </w:r>
    </w:p>
    <w:p w:rsidR="00CA6C19" w:rsidRDefault="00CA6C19" w:rsidP="00CA6C19">
      <w:pPr>
        <w:pStyle w:val="ListParagraph"/>
        <w:numPr>
          <w:ilvl w:val="0"/>
          <w:numId w:val="18"/>
        </w:numPr>
        <w:jc w:val="both"/>
        <w:rPr>
          <w:rFonts w:ascii="Arial" w:hAnsi="Arial" w:cs="Arial"/>
          <w:sz w:val="20"/>
          <w:szCs w:val="20"/>
        </w:rPr>
      </w:pPr>
      <w:r>
        <w:rPr>
          <w:rFonts w:ascii="Arial" w:hAnsi="Arial" w:cs="Arial"/>
          <w:sz w:val="20"/>
          <w:szCs w:val="20"/>
        </w:rPr>
        <w:t>Workplace management billing</w:t>
      </w:r>
    </w:p>
    <w:p w:rsidR="00CA6C19" w:rsidRDefault="00CA6C19" w:rsidP="00CA6C19">
      <w:pPr>
        <w:pStyle w:val="ListParagraph"/>
        <w:numPr>
          <w:ilvl w:val="0"/>
          <w:numId w:val="18"/>
        </w:numPr>
        <w:jc w:val="both"/>
        <w:rPr>
          <w:rFonts w:ascii="Arial" w:hAnsi="Arial" w:cs="Arial"/>
          <w:sz w:val="20"/>
          <w:szCs w:val="20"/>
        </w:rPr>
      </w:pPr>
      <w:r>
        <w:rPr>
          <w:rFonts w:ascii="Arial" w:hAnsi="Arial" w:cs="Arial"/>
          <w:sz w:val="20"/>
          <w:szCs w:val="20"/>
        </w:rPr>
        <w:t>Commercial tenant billing</w:t>
      </w:r>
    </w:p>
    <w:p w:rsidR="009E71CF" w:rsidRDefault="009E71CF" w:rsidP="00CA6C19">
      <w:pPr>
        <w:pStyle w:val="ListParagraph"/>
        <w:numPr>
          <w:ilvl w:val="0"/>
          <w:numId w:val="18"/>
        </w:numPr>
        <w:jc w:val="both"/>
        <w:rPr>
          <w:rFonts w:ascii="Arial" w:hAnsi="Arial" w:cs="Arial"/>
          <w:sz w:val="20"/>
          <w:szCs w:val="20"/>
        </w:rPr>
      </w:pPr>
      <w:r>
        <w:rPr>
          <w:rFonts w:ascii="Arial" w:hAnsi="Arial" w:cs="Arial"/>
          <w:sz w:val="20"/>
          <w:szCs w:val="20"/>
        </w:rPr>
        <w:t>Improved water devolution</w:t>
      </w:r>
    </w:p>
    <w:p w:rsidR="00CA6C19" w:rsidRDefault="00CA6C19" w:rsidP="00CA6C19">
      <w:pPr>
        <w:pStyle w:val="ListParagraph"/>
        <w:numPr>
          <w:ilvl w:val="0"/>
          <w:numId w:val="18"/>
        </w:numPr>
        <w:jc w:val="both"/>
        <w:rPr>
          <w:rFonts w:ascii="Arial" w:hAnsi="Arial" w:cs="Arial"/>
          <w:sz w:val="20"/>
          <w:szCs w:val="20"/>
        </w:rPr>
      </w:pPr>
      <w:r>
        <w:rPr>
          <w:rFonts w:ascii="Arial" w:hAnsi="Arial" w:cs="Arial"/>
          <w:sz w:val="20"/>
          <w:szCs w:val="20"/>
        </w:rPr>
        <w:t>EC4T</w:t>
      </w:r>
    </w:p>
    <w:p w:rsidR="0066626E" w:rsidRDefault="0066626E" w:rsidP="00CA6C19">
      <w:pPr>
        <w:pStyle w:val="ListParagraph"/>
        <w:numPr>
          <w:ilvl w:val="0"/>
          <w:numId w:val="18"/>
        </w:numPr>
        <w:jc w:val="both"/>
        <w:rPr>
          <w:rFonts w:ascii="Arial" w:hAnsi="Arial" w:cs="Arial"/>
          <w:sz w:val="20"/>
          <w:szCs w:val="20"/>
        </w:rPr>
      </w:pPr>
      <w:r>
        <w:rPr>
          <w:rFonts w:ascii="Arial" w:hAnsi="Arial" w:cs="Arial"/>
          <w:sz w:val="20"/>
          <w:szCs w:val="20"/>
        </w:rPr>
        <w:t>Automatic charging to IP cost centres</w:t>
      </w:r>
    </w:p>
    <w:p w:rsidR="00FA7171" w:rsidRDefault="00FA7171">
      <w:pPr>
        <w:rPr>
          <w:rFonts w:ascii="Arial" w:hAnsi="Arial" w:cs="Arial"/>
          <w:sz w:val="20"/>
          <w:szCs w:val="20"/>
        </w:rPr>
      </w:pPr>
      <w:r>
        <w:rPr>
          <w:rFonts w:ascii="Arial" w:hAnsi="Arial" w:cs="Arial"/>
          <w:sz w:val="20"/>
          <w:szCs w:val="20"/>
        </w:rPr>
        <w:br w:type="page"/>
      </w:r>
    </w:p>
    <w:p w:rsidR="00FA7171" w:rsidRDefault="00FA7171" w:rsidP="00CA6C19">
      <w:pPr>
        <w:jc w:val="both"/>
        <w:rPr>
          <w:rFonts w:ascii="Arial" w:hAnsi="Arial" w:cs="Arial"/>
          <w:sz w:val="20"/>
          <w:szCs w:val="20"/>
        </w:rPr>
      </w:pPr>
      <w:r>
        <w:rPr>
          <w:rFonts w:ascii="Arial" w:hAnsi="Arial" w:cs="Arial"/>
          <w:sz w:val="20"/>
          <w:szCs w:val="20"/>
        </w:rPr>
        <w:lastRenderedPageBreak/>
        <w:t>Appendix 1 – Posting locations</w:t>
      </w:r>
    </w:p>
    <w:p w:rsidR="00FA7171" w:rsidRDefault="00FA7171" w:rsidP="00CA6C19">
      <w:pPr>
        <w:jc w:val="both"/>
        <w:rPr>
          <w:rFonts w:ascii="Arial" w:hAnsi="Arial" w:cs="Arial"/>
          <w:sz w:val="20"/>
          <w:szCs w:val="20"/>
        </w:rPr>
      </w:pPr>
      <w:r w:rsidRPr="00D5399F">
        <w:rPr>
          <w:noProof/>
          <w:lang w:eastAsia="en-GB"/>
        </w:rPr>
        <w:drawing>
          <wp:inline distT="0" distB="0" distL="0" distR="0" wp14:anchorId="102BE4F4" wp14:editId="7EFB1AE3">
            <wp:extent cx="5731510" cy="63792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379210"/>
                    </a:xfrm>
                    <a:prstGeom prst="rect">
                      <a:avLst/>
                    </a:prstGeom>
                    <a:noFill/>
                    <a:ln>
                      <a:noFill/>
                    </a:ln>
                  </pic:spPr>
                </pic:pic>
              </a:graphicData>
            </a:graphic>
          </wp:inline>
        </w:drawing>
      </w:r>
    </w:p>
    <w:p w:rsidR="00FA7171" w:rsidRPr="00BD3FE1" w:rsidRDefault="00FA7171" w:rsidP="00CA6C19">
      <w:pPr>
        <w:jc w:val="both"/>
        <w:rPr>
          <w:rFonts w:ascii="Arial" w:hAnsi="Arial" w:cs="Arial"/>
          <w:sz w:val="20"/>
          <w:szCs w:val="20"/>
        </w:rPr>
      </w:pPr>
    </w:p>
    <w:sectPr w:rsidR="00FA7171" w:rsidRPr="00BD3FE1" w:rsidSect="00893A7C">
      <w:headerReference w:type="even" r:id="rId13"/>
      <w:headerReference w:type="default" r:id="rId14"/>
      <w:footerReference w:type="even" r:id="rId15"/>
      <w:footerReference w:type="default" r:id="rId16"/>
      <w:pgSz w:w="11906" w:h="16838"/>
      <w:pgMar w:top="720" w:right="720" w:bottom="720" w:left="720" w:header="708" w:footer="708" w:gutter="0"/>
      <w:pgBorders w:offsetFrom="page">
        <w:top w:val="single" w:sz="4" w:space="24" w:color="1B587C" w:themeColor="accent3"/>
        <w:left w:val="single" w:sz="4" w:space="24" w:color="1B587C" w:themeColor="accent3"/>
        <w:bottom w:val="single" w:sz="4" w:space="24" w:color="1B587C" w:themeColor="accent3"/>
        <w:right w:val="single" w:sz="4" w:space="24" w:color="1B587C" w:themeColor="accent3"/>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E7" w:rsidRDefault="00E90BE7" w:rsidP="00893A7C">
      <w:pPr>
        <w:spacing w:after="0" w:line="240" w:lineRule="auto"/>
      </w:pPr>
      <w:r>
        <w:separator/>
      </w:r>
    </w:p>
  </w:endnote>
  <w:endnote w:type="continuationSeparator" w:id="0">
    <w:p w:rsidR="00E90BE7" w:rsidRDefault="00E90BE7" w:rsidP="0089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54304"/>
      <w:docPartObj>
        <w:docPartGallery w:val="Page Numbers (Bottom of Page)"/>
        <w:docPartUnique/>
      </w:docPartObj>
    </w:sdtPr>
    <w:sdtEndPr>
      <w:rPr>
        <w:noProof/>
      </w:rPr>
    </w:sdtEndPr>
    <w:sdtContent>
      <w:p w:rsidR="00E90BE7" w:rsidRDefault="00E90BE7">
        <w:pPr>
          <w:pStyle w:val="Footer"/>
        </w:pPr>
        <w:r>
          <w:fldChar w:fldCharType="begin"/>
        </w:r>
        <w:r>
          <w:instrText xml:space="preserve"> PAGE   \* MERGEFORMAT </w:instrText>
        </w:r>
        <w:r>
          <w:fldChar w:fldCharType="separate"/>
        </w:r>
        <w:r w:rsidR="00553E7B">
          <w:rPr>
            <w:noProof/>
          </w:rPr>
          <w:t>2</w:t>
        </w:r>
        <w:r>
          <w:rPr>
            <w:noProof/>
          </w:rPr>
          <w:fldChar w:fldCharType="end"/>
        </w:r>
      </w:p>
    </w:sdtContent>
  </w:sdt>
  <w:p w:rsidR="00E90BE7" w:rsidRDefault="00E90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414633"/>
      <w:docPartObj>
        <w:docPartGallery w:val="Page Numbers (Bottom of Page)"/>
        <w:docPartUnique/>
      </w:docPartObj>
    </w:sdtPr>
    <w:sdtEndPr>
      <w:rPr>
        <w:noProof/>
      </w:rPr>
    </w:sdtEndPr>
    <w:sdtContent>
      <w:p w:rsidR="00E90BE7" w:rsidRDefault="00E90BE7">
        <w:pPr>
          <w:pStyle w:val="Footer"/>
          <w:jc w:val="right"/>
        </w:pPr>
        <w:r>
          <w:fldChar w:fldCharType="begin"/>
        </w:r>
        <w:r>
          <w:instrText xml:space="preserve"> PAGE   \* MERGEFORMAT </w:instrText>
        </w:r>
        <w:r>
          <w:fldChar w:fldCharType="separate"/>
        </w:r>
        <w:r w:rsidR="00553E7B">
          <w:rPr>
            <w:noProof/>
          </w:rPr>
          <w:t>9</w:t>
        </w:r>
        <w:r>
          <w:rPr>
            <w:noProof/>
          </w:rPr>
          <w:fldChar w:fldCharType="end"/>
        </w:r>
      </w:p>
    </w:sdtContent>
  </w:sdt>
  <w:p w:rsidR="00E90BE7" w:rsidRDefault="00E90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E7" w:rsidRDefault="00E90BE7" w:rsidP="00893A7C">
      <w:pPr>
        <w:spacing w:after="0" w:line="240" w:lineRule="auto"/>
      </w:pPr>
      <w:r>
        <w:separator/>
      </w:r>
    </w:p>
  </w:footnote>
  <w:footnote w:type="continuationSeparator" w:id="0">
    <w:p w:rsidR="00E90BE7" w:rsidRDefault="00E90BE7" w:rsidP="00893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F07F09" w:themeColor="accent1"/>
      </w:tblBorders>
      <w:tblLayout w:type="fixed"/>
      <w:tblCellMar>
        <w:top w:w="72" w:type="dxa"/>
        <w:left w:w="115" w:type="dxa"/>
        <w:bottom w:w="72" w:type="dxa"/>
        <w:right w:w="115" w:type="dxa"/>
      </w:tblCellMar>
      <w:tblLook w:val="04A0" w:firstRow="1" w:lastRow="0" w:firstColumn="1" w:lastColumn="0" w:noHBand="0" w:noVBand="1"/>
    </w:tblPr>
    <w:tblGrid>
      <w:gridCol w:w="10696"/>
    </w:tblGrid>
    <w:tr w:rsidR="00E90BE7" w:rsidTr="006A3FDE">
      <w:tc>
        <w:tcPr>
          <w:tcW w:w="5000" w:type="pct"/>
          <w:vAlign w:val="bottom"/>
        </w:tcPr>
        <w:p w:rsidR="00E90BE7" w:rsidRDefault="00E90BE7" w:rsidP="00ED364C">
          <w:pPr>
            <w:pStyle w:val="Header"/>
            <w:rPr>
              <w:noProof/>
              <w:color w:val="14415C" w:themeColor="accent3" w:themeShade="BF"/>
              <w:sz w:val="24"/>
              <w:szCs w:val="24"/>
            </w:rPr>
          </w:pPr>
          <w:r>
            <w:rPr>
              <w:b/>
              <w:bCs/>
              <w:color w:val="14415C" w:themeColor="accent3" w:themeShade="BF"/>
              <w:sz w:val="24"/>
              <w:szCs w:val="24"/>
            </w:rPr>
            <w:t>[</w:t>
          </w:r>
          <w:sdt>
            <w:sdtPr>
              <w:rPr>
                <w:b/>
                <w:bCs/>
                <w:caps/>
                <w:sz w:val="24"/>
                <w:szCs w:val="24"/>
              </w:rPr>
              <w:alias w:val="Title"/>
              <w:id w:val="790638269"/>
              <w:placeholder>
                <w:docPart w:val="2D20C78F2013485097D6F80155DA875C"/>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UTILITIES DEVOLUTION</w:t>
              </w:r>
            </w:sdtContent>
          </w:sdt>
          <w:r>
            <w:rPr>
              <w:b/>
              <w:bCs/>
              <w:color w:val="14415C" w:themeColor="accent3" w:themeShade="BF"/>
              <w:sz w:val="24"/>
              <w:szCs w:val="24"/>
            </w:rPr>
            <w:t>]</w:t>
          </w:r>
        </w:p>
      </w:tc>
    </w:tr>
  </w:tbl>
  <w:p w:rsidR="00E90BE7" w:rsidRDefault="00E90BE7" w:rsidP="00BB3F30">
    <w:pPr>
      <w:pStyle w:val="Header"/>
    </w:pPr>
  </w:p>
  <w:p w:rsidR="00E90BE7" w:rsidRDefault="00E90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F07F09" w:themeColor="accent1"/>
      </w:tblBorders>
      <w:tblLayout w:type="fixed"/>
      <w:tblCellMar>
        <w:top w:w="72" w:type="dxa"/>
        <w:left w:w="115" w:type="dxa"/>
        <w:bottom w:w="72" w:type="dxa"/>
        <w:right w:w="115" w:type="dxa"/>
      </w:tblCellMar>
      <w:tblLook w:val="04A0" w:firstRow="1" w:lastRow="0" w:firstColumn="1" w:lastColumn="0" w:noHBand="0" w:noVBand="1"/>
    </w:tblPr>
    <w:tblGrid>
      <w:gridCol w:w="10696"/>
    </w:tblGrid>
    <w:tr w:rsidR="00E90BE7" w:rsidTr="006A3FDE">
      <w:tc>
        <w:tcPr>
          <w:tcW w:w="5000" w:type="pct"/>
          <w:vAlign w:val="bottom"/>
        </w:tcPr>
        <w:p w:rsidR="00E90BE7" w:rsidRDefault="00E90BE7">
          <w:pPr>
            <w:pStyle w:val="Header"/>
            <w:jc w:val="right"/>
            <w:rPr>
              <w:noProof/>
              <w:color w:val="14415C" w:themeColor="accent3" w:themeShade="BF"/>
              <w:sz w:val="24"/>
              <w:szCs w:val="24"/>
            </w:rPr>
          </w:pPr>
          <w:r>
            <w:rPr>
              <w:b/>
              <w:bCs/>
              <w:color w:val="14415C" w:themeColor="accent3" w:themeShade="BF"/>
              <w:sz w:val="24"/>
              <w:szCs w:val="24"/>
            </w:rPr>
            <w:t>[</w:t>
          </w:r>
          <w:sdt>
            <w:sdtPr>
              <w:rPr>
                <w:b/>
                <w:bCs/>
                <w:caps/>
                <w:sz w:val="24"/>
                <w:szCs w:val="24"/>
              </w:rPr>
              <w:alias w:val="Title"/>
              <w:id w:val="1790082861"/>
              <w:placeholder>
                <w:docPart w:val="044D990091284832B2905EAEEF26E569"/>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UTILITIES DEVOLUTION</w:t>
              </w:r>
            </w:sdtContent>
          </w:sdt>
          <w:r>
            <w:rPr>
              <w:b/>
              <w:bCs/>
              <w:color w:val="14415C" w:themeColor="accent3" w:themeShade="BF"/>
              <w:sz w:val="24"/>
              <w:szCs w:val="24"/>
            </w:rPr>
            <w:t>]</w:t>
          </w:r>
        </w:p>
      </w:tc>
    </w:tr>
  </w:tbl>
  <w:p w:rsidR="00E90BE7" w:rsidRDefault="00E90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C5E"/>
    <w:multiLevelType w:val="hybridMultilevel"/>
    <w:tmpl w:val="BB066676"/>
    <w:lvl w:ilvl="0" w:tplc="565EE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22994"/>
    <w:multiLevelType w:val="hybridMultilevel"/>
    <w:tmpl w:val="BCC0C6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865019F"/>
    <w:multiLevelType w:val="hybridMultilevel"/>
    <w:tmpl w:val="A140A226"/>
    <w:lvl w:ilvl="0" w:tplc="565EE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90016"/>
    <w:multiLevelType w:val="hybridMultilevel"/>
    <w:tmpl w:val="158AB668"/>
    <w:lvl w:ilvl="0" w:tplc="565EE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B262D3"/>
    <w:multiLevelType w:val="multilevel"/>
    <w:tmpl w:val="F01E3B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3B68A5"/>
    <w:multiLevelType w:val="hybridMultilevel"/>
    <w:tmpl w:val="B908F87E"/>
    <w:lvl w:ilvl="0" w:tplc="565EE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861D4"/>
    <w:multiLevelType w:val="hybridMultilevel"/>
    <w:tmpl w:val="5A1EB658"/>
    <w:lvl w:ilvl="0" w:tplc="565EE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A82614"/>
    <w:multiLevelType w:val="hybridMultilevel"/>
    <w:tmpl w:val="6F7664FA"/>
    <w:lvl w:ilvl="0" w:tplc="565EE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63245E"/>
    <w:multiLevelType w:val="hybridMultilevel"/>
    <w:tmpl w:val="C6EA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7E6D7C"/>
    <w:multiLevelType w:val="hybridMultilevel"/>
    <w:tmpl w:val="B29ED38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897470E"/>
    <w:multiLevelType w:val="hybridMultilevel"/>
    <w:tmpl w:val="4BA68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8A7265"/>
    <w:multiLevelType w:val="hybridMultilevel"/>
    <w:tmpl w:val="DF50A9A8"/>
    <w:lvl w:ilvl="0" w:tplc="565EE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585E5C"/>
    <w:multiLevelType w:val="multilevel"/>
    <w:tmpl w:val="95DA33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4897B65"/>
    <w:multiLevelType w:val="hybridMultilevel"/>
    <w:tmpl w:val="5066EAB8"/>
    <w:lvl w:ilvl="0" w:tplc="565EE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252A49"/>
    <w:multiLevelType w:val="hybridMultilevel"/>
    <w:tmpl w:val="A1B8B4DC"/>
    <w:lvl w:ilvl="0" w:tplc="0E10ED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525EC6"/>
    <w:multiLevelType w:val="multilevel"/>
    <w:tmpl w:val="4BC2AB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C4359B"/>
    <w:multiLevelType w:val="hybridMultilevel"/>
    <w:tmpl w:val="8A58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955E9B"/>
    <w:multiLevelType w:val="hybridMultilevel"/>
    <w:tmpl w:val="3C3879D6"/>
    <w:lvl w:ilvl="0" w:tplc="565EE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526588"/>
    <w:multiLevelType w:val="hybridMultilevel"/>
    <w:tmpl w:val="3A56871C"/>
    <w:lvl w:ilvl="0" w:tplc="2920271C">
      <w:start w:val="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58233D"/>
    <w:multiLevelType w:val="hybridMultilevel"/>
    <w:tmpl w:val="4CF01BA8"/>
    <w:lvl w:ilvl="0" w:tplc="565EE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977172"/>
    <w:multiLevelType w:val="hybridMultilevel"/>
    <w:tmpl w:val="C6C283DC"/>
    <w:lvl w:ilvl="0" w:tplc="565EE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D409AE"/>
    <w:multiLevelType w:val="hybridMultilevel"/>
    <w:tmpl w:val="1722C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4593BDD"/>
    <w:multiLevelType w:val="hybridMultilevel"/>
    <w:tmpl w:val="33B405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516314C"/>
    <w:multiLevelType w:val="hybridMultilevel"/>
    <w:tmpl w:val="DC7C27B2"/>
    <w:lvl w:ilvl="0" w:tplc="565EE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496C12"/>
    <w:multiLevelType w:val="multilevel"/>
    <w:tmpl w:val="74CC1A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5810B9"/>
    <w:multiLevelType w:val="hybridMultilevel"/>
    <w:tmpl w:val="2D8CAA12"/>
    <w:lvl w:ilvl="0" w:tplc="E054A49E">
      <w:start w:val="1"/>
      <w:numFmt w:val="decimal"/>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21"/>
  </w:num>
  <w:num w:numId="6">
    <w:abstractNumId w:val="18"/>
  </w:num>
  <w:num w:numId="7">
    <w:abstractNumId w:val="10"/>
  </w:num>
  <w:num w:numId="8">
    <w:abstractNumId w:val="6"/>
  </w:num>
  <w:num w:numId="9">
    <w:abstractNumId w:val="2"/>
  </w:num>
  <w:num w:numId="10">
    <w:abstractNumId w:val="3"/>
  </w:num>
  <w:num w:numId="11">
    <w:abstractNumId w:val="7"/>
  </w:num>
  <w:num w:numId="12">
    <w:abstractNumId w:val="20"/>
  </w:num>
  <w:num w:numId="13">
    <w:abstractNumId w:val="0"/>
  </w:num>
  <w:num w:numId="14">
    <w:abstractNumId w:val="11"/>
  </w:num>
  <w:num w:numId="15">
    <w:abstractNumId w:val="5"/>
  </w:num>
  <w:num w:numId="16">
    <w:abstractNumId w:val="17"/>
  </w:num>
  <w:num w:numId="17">
    <w:abstractNumId w:val="19"/>
  </w:num>
  <w:num w:numId="18">
    <w:abstractNumId w:val="23"/>
  </w:num>
  <w:num w:numId="19">
    <w:abstractNumId w:val="13"/>
  </w:num>
  <w:num w:numId="20">
    <w:abstractNumId w:val="8"/>
  </w:num>
  <w:num w:numId="21">
    <w:abstractNumId w:val="25"/>
  </w:num>
  <w:num w:numId="22">
    <w:abstractNumId w:val="22"/>
  </w:num>
  <w:num w:numId="23">
    <w:abstractNumId w:val="24"/>
  </w:num>
  <w:num w:numId="24">
    <w:abstractNumId w:val="4"/>
  </w:num>
  <w:num w:numId="25">
    <w:abstractNumId w:val="15"/>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7C"/>
    <w:rsid w:val="0001073B"/>
    <w:rsid w:val="00021CC1"/>
    <w:rsid w:val="00041C2A"/>
    <w:rsid w:val="00056B4D"/>
    <w:rsid w:val="00062DE4"/>
    <w:rsid w:val="00066C88"/>
    <w:rsid w:val="000776D6"/>
    <w:rsid w:val="00081E68"/>
    <w:rsid w:val="000828E2"/>
    <w:rsid w:val="00084288"/>
    <w:rsid w:val="000A2243"/>
    <w:rsid w:val="000A53CB"/>
    <w:rsid w:val="000F7B7E"/>
    <w:rsid w:val="00115EE4"/>
    <w:rsid w:val="00131DE3"/>
    <w:rsid w:val="00165984"/>
    <w:rsid w:val="00171585"/>
    <w:rsid w:val="00171E03"/>
    <w:rsid w:val="00180BE3"/>
    <w:rsid w:val="00181DAB"/>
    <w:rsid w:val="00182F82"/>
    <w:rsid w:val="001908DE"/>
    <w:rsid w:val="001A2F01"/>
    <w:rsid w:val="001C00F6"/>
    <w:rsid w:val="001D594B"/>
    <w:rsid w:val="001F465C"/>
    <w:rsid w:val="00201147"/>
    <w:rsid w:val="00201BD6"/>
    <w:rsid w:val="00207BFD"/>
    <w:rsid w:val="00217F9C"/>
    <w:rsid w:val="00220E28"/>
    <w:rsid w:val="00232AF7"/>
    <w:rsid w:val="00245027"/>
    <w:rsid w:val="002459F4"/>
    <w:rsid w:val="002507B6"/>
    <w:rsid w:val="0026478E"/>
    <w:rsid w:val="00265763"/>
    <w:rsid w:val="002669DD"/>
    <w:rsid w:val="0027690E"/>
    <w:rsid w:val="00294E04"/>
    <w:rsid w:val="002A7546"/>
    <w:rsid w:val="002C015E"/>
    <w:rsid w:val="002E12DF"/>
    <w:rsid w:val="002E15A1"/>
    <w:rsid w:val="002F7C1D"/>
    <w:rsid w:val="0030219C"/>
    <w:rsid w:val="00314500"/>
    <w:rsid w:val="00321AD0"/>
    <w:rsid w:val="00343462"/>
    <w:rsid w:val="00343AE3"/>
    <w:rsid w:val="00346732"/>
    <w:rsid w:val="0037268E"/>
    <w:rsid w:val="00374F17"/>
    <w:rsid w:val="00376F8F"/>
    <w:rsid w:val="003D6A52"/>
    <w:rsid w:val="003E2BEF"/>
    <w:rsid w:val="003E39F1"/>
    <w:rsid w:val="00401907"/>
    <w:rsid w:val="00410066"/>
    <w:rsid w:val="00425C2F"/>
    <w:rsid w:val="0043595D"/>
    <w:rsid w:val="004402F9"/>
    <w:rsid w:val="0045213F"/>
    <w:rsid w:val="004B7C4F"/>
    <w:rsid w:val="004C2466"/>
    <w:rsid w:val="004C5FC1"/>
    <w:rsid w:val="004C7CE4"/>
    <w:rsid w:val="004D53F7"/>
    <w:rsid w:val="004D6C39"/>
    <w:rsid w:val="004E4017"/>
    <w:rsid w:val="004E4A67"/>
    <w:rsid w:val="004E5CBC"/>
    <w:rsid w:val="004F38D9"/>
    <w:rsid w:val="00500409"/>
    <w:rsid w:val="005143D1"/>
    <w:rsid w:val="00553E7B"/>
    <w:rsid w:val="0055630E"/>
    <w:rsid w:val="005772F5"/>
    <w:rsid w:val="005A6E68"/>
    <w:rsid w:val="005B3491"/>
    <w:rsid w:val="005F167B"/>
    <w:rsid w:val="005F47C6"/>
    <w:rsid w:val="005F69CC"/>
    <w:rsid w:val="00640995"/>
    <w:rsid w:val="00645A9D"/>
    <w:rsid w:val="00656913"/>
    <w:rsid w:val="00656979"/>
    <w:rsid w:val="00656B35"/>
    <w:rsid w:val="0066626E"/>
    <w:rsid w:val="006717AB"/>
    <w:rsid w:val="00675B2F"/>
    <w:rsid w:val="00677C2B"/>
    <w:rsid w:val="00696FF9"/>
    <w:rsid w:val="006A3FDE"/>
    <w:rsid w:val="006B42AB"/>
    <w:rsid w:val="006E1F9F"/>
    <w:rsid w:val="0070791E"/>
    <w:rsid w:val="0071338C"/>
    <w:rsid w:val="007354FB"/>
    <w:rsid w:val="0075134A"/>
    <w:rsid w:val="00771012"/>
    <w:rsid w:val="0078636D"/>
    <w:rsid w:val="007A59AE"/>
    <w:rsid w:val="007B2218"/>
    <w:rsid w:val="007D1832"/>
    <w:rsid w:val="007D5C9E"/>
    <w:rsid w:val="007D7239"/>
    <w:rsid w:val="007F4422"/>
    <w:rsid w:val="00814F50"/>
    <w:rsid w:val="00816600"/>
    <w:rsid w:val="00824688"/>
    <w:rsid w:val="00824A19"/>
    <w:rsid w:val="0084120B"/>
    <w:rsid w:val="00847778"/>
    <w:rsid w:val="00860306"/>
    <w:rsid w:val="0086304E"/>
    <w:rsid w:val="00870AD9"/>
    <w:rsid w:val="008801E7"/>
    <w:rsid w:val="008869C4"/>
    <w:rsid w:val="00893A7C"/>
    <w:rsid w:val="008B75D5"/>
    <w:rsid w:val="008F3AD5"/>
    <w:rsid w:val="00905093"/>
    <w:rsid w:val="00906B57"/>
    <w:rsid w:val="00912217"/>
    <w:rsid w:val="00927173"/>
    <w:rsid w:val="00927B7D"/>
    <w:rsid w:val="009350DE"/>
    <w:rsid w:val="0093556F"/>
    <w:rsid w:val="009432B9"/>
    <w:rsid w:val="0096640F"/>
    <w:rsid w:val="00970B9E"/>
    <w:rsid w:val="00985961"/>
    <w:rsid w:val="009865E9"/>
    <w:rsid w:val="009A33B1"/>
    <w:rsid w:val="009A6411"/>
    <w:rsid w:val="009C67D5"/>
    <w:rsid w:val="009D34A2"/>
    <w:rsid w:val="009E71CF"/>
    <w:rsid w:val="009F48F3"/>
    <w:rsid w:val="00A35874"/>
    <w:rsid w:val="00A56F8F"/>
    <w:rsid w:val="00A93BD3"/>
    <w:rsid w:val="00A94F04"/>
    <w:rsid w:val="00AA519E"/>
    <w:rsid w:val="00AA55CD"/>
    <w:rsid w:val="00AB6742"/>
    <w:rsid w:val="00AC3569"/>
    <w:rsid w:val="00AD1544"/>
    <w:rsid w:val="00AD238B"/>
    <w:rsid w:val="00AE19DD"/>
    <w:rsid w:val="00AE5C9A"/>
    <w:rsid w:val="00AF796D"/>
    <w:rsid w:val="00B01795"/>
    <w:rsid w:val="00B16EA3"/>
    <w:rsid w:val="00B26436"/>
    <w:rsid w:val="00B3506F"/>
    <w:rsid w:val="00B35F2D"/>
    <w:rsid w:val="00B3772C"/>
    <w:rsid w:val="00B40CB8"/>
    <w:rsid w:val="00B629D6"/>
    <w:rsid w:val="00B82DA7"/>
    <w:rsid w:val="00B90CDD"/>
    <w:rsid w:val="00B940C8"/>
    <w:rsid w:val="00BB3F30"/>
    <w:rsid w:val="00BC263F"/>
    <w:rsid w:val="00BD3FE1"/>
    <w:rsid w:val="00BD4145"/>
    <w:rsid w:val="00C10254"/>
    <w:rsid w:val="00C17BE1"/>
    <w:rsid w:val="00C5503D"/>
    <w:rsid w:val="00C75FB7"/>
    <w:rsid w:val="00C903BE"/>
    <w:rsid w:val="00CA20F3"/>
    <w:rsid w:val="00CA395C"/>
    <w:rsid w:val="00CA6C19"/>
    <w:rsid w:val="00CB31A7"/>
    <w:rsid w:val="00D14953"/>
    <w:rsid w:val="00D44338"/>
    <w:rsid w:val="00D5711B"/>
    <w:rsid w:val="00D65826"/>
    <w:rsid w:val="00D70CB4"/>
    <w:rsid w:val="00D81974"/>
    <w:rsid w:val="00D87038"/>
    <w:rsid w:val="00D92DB0"/>
    <w:rsid w:val="00D9433C"/>
    <w:rsid w:val="00D950E5"/>
    <w:rsid w:val="00DB2CB0"/>
    <w:rsid w:val="00DE689D"/>
    <w:rsid w:val="00E03761"/>
    <w:rsid w:val="00E03E2B"/>
    <w:rsid w:val="00E16BE1"/>
    <w:rsid w:val="00E42628"/>
    <w:rsid w:val="00E67A72"/>
    <w:rsid w:val="00E72242"/>
    <w:rsid w:val="00E82A5A"/>
    <w:rsid w:val="00E90BE7"/>
    <w:rsid w:val="00E9507D"/>
    <w:rsid w:val="00EA307E"/>
    <w:rsid w:val="00EA49A7"/>
    <w:rsid w:val="00EB0ED9"/>
    <w:rsid w:val="00ED364C"/>
    <w:rsid w:val="00ED565B"/>
    <w:rsid w:val="00ED624B"/>
    <w:rsid w:val="00EE4B8B"/>
    <w:rsid w:val="00F22742"/>
    <w:rsid w:val="00F26E2B"/>
    <w:rsid w:val="00F4105F"/>
    <w:rsid w:val="00FA7171"/>
    <w:rsid w:val="00FB6AC3"/>
    <w:rsid w:val="00FF0340"/>
    <w:rsid w:val="00FF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A7C"/>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7C"/>
  </w:style>
  <w:style w:type="paragraph" w:styleId="Footer">
    <w:name w:val="footer"/>
    <w:basedOn w:val="Normal"/>
    <w:link w:val="FooterChar"/>
    <w:uiPriority w:val="99"/>
    <w:unhideWhenUsed/>
    <w:rsid w:val="0089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7C"/>
  </w:style>
  <w:style w:type="paragraph" w:styleId="BalloonText">
    <w:name w:val="Balloon Text"/>
    <w:basedOn w:val="Normal"/>
    <w:link w:val="BalloonTextChar"/>
    <w:uiPriority w:val="99"/>
    <w:semiHidden/>
    <w:unhideWhenUsed/>
    <w:rsid w:val="0089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7C"/>
    <w:rPr>
      <w:rFonts w:ascii="Tahoma" w:hAnsi="Tahoma" w:cs="Tahoma"/>
      <w:sz w:val="16"/>
      <w:szCs w:val="16"/>
    </w:rPr>
  </w:style>
  <w:style w:type="character" w:customStyle="1" w:styleId="Heading1Char">
    <w:name w:val="Heading 1 Char"/>
    <w:basedOn w:val="DefaultParagraphFont"/>
    <w:link w:val="Heading1"/>
    <w:uiPriority w:val="9"/>
    <w:rsid w:val="00893A7C"/>
    <w:rPr>
      <w:rFonts w:asciiTheme="majorHAnsi" w:eastAsiaTheme="majorEastAsia" w:hAnsiTheme="majorHAnsi" w:cstheme="majorBidi"/>
      <w:b/>
      <w:bCs/>
      <w:color w:val="B35E06" w:themeColor="accent1" w:themeShade="BF"/>
      <w:sz w:val="28"/>
      <w:szCs w:val="28"/>
    </w:rPr>
  </w:style>
  <w:style w:type="paragraph" w:styleId="Title">
    <w:name w:val="Title"/>
    <w:basedOn w:val="Normal"/>
    <w:next w:val="Normal"/>
    <w:link w:val="TitleChar"/>
    <w:uiPriority w:val="10"/>
    <w:qFormat/>
    <w:rsid w:val="00893A7C"/>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893A7C"/>
    <w:rPr>
      <w:rFonts w:asciiTheme="majorHAnsi" w:eastAsiaTheme="majorEastAsia" w:hAnsiTheme="majorHAnsi" w:cstheme="majorBidi"/>
      <w:color w:val="252525" w:themeColor="text2" w:themeShade="BF"/>
      <w:spacing w:val="5"/>
      <w:kern w:val="28"/>
      <w:sz w:val="52"/>
      <w:szCs w:val="52"/>
    </w:rPr>
  </w:style>
  <w:style w:type="paragraph" w:customStyle="1" w:styleId="ERPHTitle">
    <w:name w:val="ERPH Title"/>
    <w:basedOn w:val="Title"/>
    <w:link w:val="ERPHTitleChar"/>
    <w:qFormat/>
    <w:rsid w:val="00BB3F30"/>
    <w:rPr>
      <w:rFonts w:ascii="Arial" w:hAnsi="Arial" w:cs="Arial"/>
      <w:color w:val="1B587C" w:themeColor="accent3"/>
    </w:rPr>
  </w:style>
  <w:style w:type="character" w:customStyle="1" w:styleId="ERPHTitleChar">
    <w:name w:val="ERPH Title Char"/>
    <w:basedOn w:val="TitleChar"/>
    <w:link w:val="ERPHTitle"/>
    <w:rsid w:val="00BB3F30"/>
    <w:rPr>
      <w:rFonts w:ascii="Arial" w:eastAsiaTheme="majorEastAsia" w:hAnsi="Arial" w:cs="Arial"/>
      <w:color w:val="1B587C" w:themeColor="accent3"/>
      <w:spacing w:val="5"/>
      <w:kern w:val="28"/>
      <w:sz w:val="52"/>
      <w:szCs w:val="52"/>
    </w:rPr>
  </w:style>
  <w:style w:type="paragraph" w:styleId="ListParagraph">
    <w:name w:val="List Paragraph"/>
    <w:basedOn w:val="Normal"/>
    <w:uiPriority w:val="34"/>
    <w:qFormat/>
    <w:rsid w:val="00E9507D"/>
    <w:pPr>
      <w:ind w:left="720"/>
      <w:contextualSpacing/>
    </w:pPr>
  </w:style>
  <w:style w:type="table" w:styleId="TableGrid">
    <w:name w:val="Table Grid"/>
    <w:basedOn w:val="TableNormal"/>
    <w:uiPriority w:val="59"/>
    <w:rsid w:val="001A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7BE1"/>
    <w:rPr>
      <w:sz w:val="16"/>
      <w:szCs w:val="16"/>
    </w:rPr>
  </w:style>
  <w:style w:type="paragraph" w:styleId="CommentText">
    <w:name w:val="annotation text"/>
    <w:basedOn w:val="Normal"/>
    <w:link w:val="CommentTextChar"/>
    <w:uiPriority w:val="99"/>
    <w:semiHidden/>
    <w:unhideWhenUsed/>
    <w:rsid w:val="00C17BE1"/>
    <w:pPr>
      <w:spacing w:line="240" w:lineRule="auto"/>
    </w:pPr>
    <w:rPr>
      <w:sz w:val="20"/>
      <w:szCs w:val="20"/>
    </w:rPr>
  </w:style>
  <w:style w:type="character" w:customStyle="1" w:styleId="CommentTextChar">
    <w:name w:val="Comment Text Char"/>
    <w:basedOn w:val="DefaultParagraphFont"/>
    <w:link w:val="CommentText"/>
    <w:uiPriority w:val="99"/>
    <w:semiHidden/>
    <w:rsid w:val="00C17BE1"/>
    <w:rPr>
      <w:sz w:val="20"/>
      <w:szCs w:val="20"/>
    </w:rPr>
  </w:style>
  <w:style w:type="paragraph" w:styleId="CommentSubject">
    <w:name w:val="annotation subject"/>
    <w:basedOn w:val="CommentText"/>
    <w:next w:val="CommentText"/>
    <w:link w:val="CommentSubjectChar"/>
    <w:uiPriority w:val="99"/>
    <w:semiHidden/>
    <w:unhideWhenUsed/>
    <w:rsid w:val="00C17BE1"/>
    <w:rPr>
      <w:b/>
      <w:bCs/>
    </w:rPr>
  </w:style>
  <w:style w:type="character" w:customStyle="1" w:styleId="CommentSubjectChar">
    <w:name w:val="Comment Subject Char"/>
    <w:basedOn w:val="CommentTextChar"/>
    <w:link w:val="CommentSubject"/>
    <w:uiPriority w:val="99"/>
    <w:semiHidden/>
    <w:rsid w:val="00C17B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A7C"/>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7C"/>
  </w:style>
  <w:style w:type="paragraph" w:styleId="Footer">
    <w:name w:val="footer"/>
    <w:basedOn w:val="Normal"/>
    <w:link w:val="FooterChar"/>
    <w:uiPriority w:val="99"/>
    <w:unhideWhenUsed/>
    <w:rsid w:val="0089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7C"/>
  </w:style>
  <w:style w:type="paragraph" w:styleId="BalloonText">
    <w:name w:val="Balloon Text"/>
    <w:basedOn w:val="Normal"/>
    <w:link w:val="BalloonTextChar"/>
    <w:uiPriority w:val="99"/>
    <w:semiHidden/>
    <w:unhideWhenUsed/>
    <w:rsid w:val="0089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7C"/>
    <w:rPr>
      <w:rFonts w:ascii="Tahoma" w:hAnsi="Tahoma" w:cs="Tahoma"/>
      <w:sz w:val="16"/>
      <w:szCs w:val="16"/>
    </w:rPr>
  </w:style>
  <w:style w:type="character" w:customStyle="1" w:styleId="Heading1Char">
    <w:name w:val="Heading 1 Char"/>
    <w:basedOn w:val="DefaultParagraphFont"/>
    <w:link w:val="Heading1"/>
    <w:uiPriority w:val="9"/>
    <w:rsid w:val="00893A7C"/>
    <w:rPr>
      <w:rFonts w:asciiTheme="majorHAnsi" w:eastAsiaTheme="majorEastAsia" w:hAnsiTheme="majorHAnsi" w:cstheme="majorBidi"/>
      <w:b/>
      <w:bCs/>
      <w:color w:val="B35E06" w:themeColor="accent1" w:themeShade="BF"/>
      <w:sz w:val="28"/>
      <w:szCs w:val="28"/>
    </w:rPr>
  </w:style>
  <w:style w:type="paragraph" w:styleId="Title">
    <w:name w:val="Title"/>
    <w:basedOn w:val="Normal"/>
    <w:next w:val="Normal"/>
    <w:link w:val="TitleChar"/>
    <w:uiPriority w:val="10"/>
    <w:qFormat/>
    <w:rsid w:val="00893A7C"/>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893A7C"/>
    <w:rPr>
      <w:rFonts w:asciiTheme="majorHAnsi" w:eastAsiaTheme="majorEastAsia" w:hAnsiTheme="majorHAnsi" w:cstheme="majorBidi"/>
      <w:color w:val="252525" w:themeColor="text2" w:themeShade="BF"/>
      <w:spacing w:val="5"/>
      <w:kern w:val="28"/>
      <w:sz w:val="52"/>
      <w:szCs w:val="52"/>
    </w:rPr>
  </w:style>
  <w:style w:type="paragraph" w:customStyle="1" w:styleId="ERPHTitle">
    <w:name w:val="ERPH Title"/>
    <w:basedOn w:val="Title"/>
    <w:link w:val="ERPHTitleChar"/>
    <w:qFormat/>
    <w:rsid w:val="00BB3F30"/>
    <w:rPr>
      <w:rFonts w:ascii="Arial" w:hAnsi="Arial" w:cs="Arial"/>
      <w:color w:val="1B587C" w:themeColor="accent3"/>
    </w:rPr>
  </w:style>
  <w:style w:type="character" w:customStyle="1" w:styleId="ERPHTitleChar">
    <w:name w:val="ERPH Title Char"/>
    <w:basedOn w:val="TitleChar"/>
    <w:link w:val="ERPHTitle"/>
    <w:rsid w:val="00BB3F30"/>
    <w:rPr>
      <w:rFonts w:ascii="Arial" w:eastAsiaTheme="majorEastAsia" w:hAnsi="Arial" w:cs="Arial"/>
      <w:color w:val="1B587C" w:themeColor="accent3"/>
      <w:spacing w:val="5"/>
      <w:kern w:val="28"/>
      <w:sz w:val="52"/>
      <w:szCs w:val="52"/>
    </w:rPr>
  </w:style>
  <w:style w:type="paragraph" w:styleId="ListParagraph">
    <w:name w:val="List Paragraph"/>
    <w:basedOn w:val="Normal"/>
    <w:uiPriority w:val="34"/>
    <w:qFormat/>
    <w:rsid w:val="00E9507D"/>
    <w:pPr>
      <w:ind w:left="720"/>
      <w:contextualSpacing/>
    </w:pPr>
  </w:style>
  <w:style w:type="table" w:styleId="TableGrid">
    <w:name w:val="Table Grid"/>
    <w:basedOn w:val="TableNormal"/>
    <w:uiPriority w:val="59"/>
    <w:rsid w:val="001A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7BE1"/>
    <w:rPr>
      <w:sz w:val="16"/>
      <w:szCs w:val="16"/>
    </w:rPr>
  </w:style>
  <w:style w:type="paragraph" w:styleId="CommentText">
    <w:name w:val="annotation text"/>
    <w:basedOn w:val="Normal"/>
    <w:link w:val="CommentTextChar"/>
    <w:uiPriority w:val="99"/>
    <w:semiHidden/>
    <w:unhideWhenUsed/>
    <w:rsid w:val="00C17BE1"/>
    <w:pPr>
      <w:spacing w:line="240" w:lineRule="auto"/>
    </w:pPr>
    <w:rPr>
      <w:sz w:val="20"/>
      <w:szCs w:val="20"/>
    </w:rPr>
  </w:style>
  <w:style w:type="character" w:customStyle="1" w:styleId="CommentTextChar">
    <w:name w:val="Comment Text Char"/>
    <w:basedOn w:val="DefaultParagraphFont"/>
    <w:link w:val="CommentText"/>
    <w:uiPriority w:val="99"/>
    <w:semiHidden/>
    <w:rsid w:val="00C17BE1"/>
    <w:rPr>
      <w:sz w:val="20"/>
      <w:szCs w:val="20"/>
    </w:rPr>
  </w:style>
  <w:style w:type="paragraph" w:styleId="CommentSubject">
    <w:name w:val="annotation subject"/>
    <w:basedOn w:val="CommentText"/>
    <w:next w:val="CommentText"/>
    <w:link w:val="CommentSubjectChar"/>
    <w:uiPriority w:val="99"/>
    <w:semiHidden/>
    <w:unhideWhenUsed/>
    <w:rsid w:val="00C17BE1"/>
    <w:rPr>
      <w:b/>
      <w:bCs/>
    </w:rPr>
  </w:style>
  <w:style w:type="character" w:customStyle="1" w:styleId="CommentSubjectChar">
    <w:name w:val="Comment Subject Char"/>
    <w:basedOn w:val="CommentTextChar"/>
    <w:link w:val="CommentSubject"/>
    <w:uiPriority w:val="99"/>
    <w:semiHidden/>
    <w:rsid w:val="00C17B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6499">
      <w:bodyDiv w:val="1"/>
      <w:marLeft w:val="0"/>
      <w:marRight w:val="0"/>
      <w:marTop w:val="0"/>
      <w:marBottom w:val="0"/>
      <w:divBdr>
        <w:top w:val="none" w:sz="0" w:space="0" w:color="auto"/>
        <w:left w:val="none" w:sz="0" w:space="0" w:color="auto"/>
        <w:bottom w:val="none" w:sz="0" w:space="0" w:color="auto"/>
        <w:right w:val="none" w:sz="0" w:space="0" w:color="auto"/>
      </w:divBdr>
    </w:div>
    <w:div w:id="1205482678">
      <w:bodyDiv w:val="1"/>
      <w:marLeft w:val="0"/>
      <w:marRight w:val="0"/>
      <w:marTop w:val="0"/>
      <w:marBottom w:val="0"/>
      <w:divBdr>
        <w:top w:val="none" w:sz="0" w:space="0" w:color="auto"/>
        <w:left w:val="none" w:sz="0" w:space="0" w:color="auto"/>
        <w:bottom w:val="none" w:sz="0" w:space="0" w:color="auto"/>
        <w:right w:val="none" w:sz="0" w:space="0" w:color="auto"/>
      </w:divBdr>
    </w:div>
    <w:div w:id="1738280062">
      <w:bodyDiv w:val="1"/>
      <w:marLeft w:val="0"/>
      <w:marRight w:val="0"/>
      <w:marTop w:val="0"/>
      <w:marBottom w:val="0"/>
      <w:divBdr>
        <w:top w:val="none" w:sz="0" w:space="0" w:color="auto"/>
        <w:left w:val="none" w:sz="0" w:space="0" w:color="auto"/>
        <w:bottom w:val="none" w:sz="0" w:space="0" w:color="auto"/>
        <w:right w:val="none" w:sz="0" w:space="0" w:color="auto"/>
      </w:divBdr>
    </w:div>
    <w:div w:id="21206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en.wikipedia.org/wiki/File:Network_Rail_Logo.p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4D990091284832B2905EAEEF26E569"/>
        <w:category>
          <w:name w:val="General"/>
          <w:gallery w:val="placeholder"/>
        </w:category>
        <w:types>
          <w:type w:val="bbPlcHdr"/>
        </w:types>
        <w:behaviors>
          <w:behavior w:val="content"/>
        </w:behaviors>
        <w:guid w:val="{1B374E9B-1526-4700-BBD7-61C2B0769E1A}"/>
      </w:docPartPr>
      <w:docPartBody>
        <w:p w:rsidR="008575C4" w:rsidRDefault="00D5744D" w:rsidP="00D5744D">
          <w:pPr>
            <w:pStyle w:val="044D990091284832B2905EAEEF26E569"/>
          </w:pPr>
          <w:r>
            <w:rPr>
              <w:b/>
              <w:bCs/>
              <w:caps/>
              <w:sz w:val="24"/>
              <w:szCs w:val="24"/>
            </w:rPr>
            <w:t>Type the document title</w:t>
          </w:r>
        </w:p>
      </w:docPartBody>
    </w:docPart>
    <w:docPart>
      <w:docPartPr>
        <w:name w:val="2D20C78F2013485097D6F80155DA875C"/>
        <w:category>
          <w:name w:val="General"/>
          <w:gallery w:val="placeholder"/>
        </w:category>
        <w:types>
          <w:type w:val="bbPlcHdr"/>
        </w:types>
        <w:behaviors>
          <w:behavior w:val="content"/>
        </w:behaviors>
        <w:guid w:val="{D379CD56-2D16-4D24-B2F0-D0D0C8AB3437}"/>
      </w:docPartPr>
      <w:docPartBody>
        <w:p w:rsidR="008575C4" w:rsidRDefault="00D5744D" w:rsidP="00D5744D">
          <w:pPr>
            <w:pStyle w:val="2D20C78F2013485097D6F80155DA875C"/>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4D"/>
    <w:rsid w:val="00284629"/>
    <w:rsid w:val="002C3646"/>
    <w:rsid w:val="00721D6F"/>
    <w:rsid w:val="00735175"/>
    <w:rsid w:val="008575C4"/>
    <w:rsid w:val="00901C4A"/>
    <w:rsid w:val="00981D38"/>
    <w:rsid w:val="00CB47C3"/>
    <w:rsid w:val="00D1787B"/>
    <w:rsid w:val="00D5744D"/>
    <w:rsid w:val="00DC05D6"/>
    <w:rsid w:val="00DE2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B95B2DE96439695D5286486810CEE">
    <w:name w:val="E77B95B2DE96439695D5286486810CEE"/>
    <w:rsid w:val="00D5744D"/>
  </w:style>
  <w:style w:type="paragraph" w:customStyle="1" w:styleId="2D8AD46619454CA99A72CDE2FCD0C4CB">
    <w:name w:val="2D8AD46619454CA99A72CDE2FCD0C4CB"/>
    <w:rsid w:val="00D5744D"/>
  </w:style>
  <w:style w:type="paragraph" w:customStyle="1" w:styleId="044D990091284832B2905EAEEF26E569">
    <w:name w:val="044D990091284832B2905EAEEF26E569"/>
    <w:rsid w:val="00D5744D"/>
  </w:style>
  <w:style w:type="paragraph" w:customStyle="1" w:styleId="2D20C78F2013485097D6F80155DA875C">
    <w:name w:val="2D20C78F2013485097D6F80155DA875C"/>
    <w:rsid w:val="00D57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B95B2DE96439695D5286486810CEE">
    <w:name w:val="E77B95B2DE96439695D5286486810CEE"/>
    <w:rsid w:val="00D5744D"/>
  </w:style>
  <w:style w:type="paragraph" w:customStyle="1" w:styleId="2D8AD46619454CA99A72CDE2FCD0C4CB">
    <w:name w:val="2D8AD46619454CA99A72CDE2FCD0C4CB"/>
    <w:rsid w:val="00D5744D"/>
  </w:style>
  <w:style w:type="paragraph" w:customStyle="1" w:styleId="044D990091284832B2905EAEEF26E569">
    <w:name w:val="044D990091284832B2905EAEEF26E569"/>
    <w:rsid w:val="00D5744D"/>
  </w:style>
  <w:style w:type="paragraph" w:customStyle="1" w:styleId="2D20C78F2013485097D6F80155DA875C">
    <w:name w:val="2D20C78F2013485097D6F80155DA875C"/>
    <w:rsid w:val="00D5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71C03F-ED9F-47FA-B623-FB66BA5A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UTILITIES DEVOLUTION</vt:lpstr>
    </vt:vector>
  </TitlesOfParts>
  <Company>Network Rail</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DEVOLUTION</dc:title>
  <dc:creator>Stone Natalie</dc:creator>
  <cp:lastModifiedBy>Simon Fullard</cp:lastModifiedBy>
  <cp:revision>8</cp:revision>
  <cp:lastPrinted>2016-03-21T09:47:00Z</cp:lastPrinted>
  <dcterms:created xsi:type="dcterms:W3CDTF">2016-03-29T08:12:00Z</dcterms:created>
  <dcterms:modified xsi:type="dcterms:W3CDTF">2016-04-05T20:19:00Z</dcterms:modified>
</cp:coreProperties>
</file>