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F0D" w:rsidRDefault="00DB3F0D"/>
    <w:p w:rsidR="0065582F" w:rsidRDefault="0065582F"/>
    <w:p w:rsidR="00B86193" w:rsidRDefault="00B86193" w:rsidP="00B86193">
      <w:pPr>
        <w:spacing w:after="0" w:line="240" w:lineRule="auto"/>
      </w:pPr>
    </w:p>
    <w:p w:rsidR="0065582F" w:rsidRDefault="00752EFE" w:rsidP="00752EFE">
      <w:pPr>
        <w:jc w:val="center"/>
        <w:rPr>
          <w:b/>
          <w:u w:val="single"/>
        </w:rPr>
      </w:pPr>
      <w:r>
        <w:rPr>
          <w:b/>
          <w:u w:val="single"/>
        </w:rPr>
        <w:t>How Network Rail buys utilities</w:t>
      </w:r>
    </w:p>
    <w:p w:rsidR="00752EFE" w:rsidRPr="00752EFE" w:rsidRDefault="00752EFE" w:rsidP="00752EFE">
      <w:pPr>
        <w:spacing w:after="0" w:line="240" w:lineRule="auto"/>
      </w:pPr>
      <w:r w:rsidRPr="00752EFE">
        <w:t>Network Rail has contracts in place for all utilities except for water in England and Wales.  Water will be contracted in England during 2017 as the water market will only be de-regulated from 1</w:t>
      </w:r>
      <w:r w:rsidRPr="00752EFE">
        <w:rPr>
          <w:vertAlign w:val="superscript"/>
        </w:rPr>
        <w:t>st</w:t>
      </w:r>
      <w:r w:rsidRPr="00752EFE">
        <w:t xml:space="preserve"> April 2017.  There are currently no plans to de-regulate the water market in Wales.</w:t>
      </w:r>
    </w:p>
    <w:p w:rsidR="00752EFE" w:rsidRPr="00752EFE" w:rsidRDefault="00752EFE" w:rsidP="00752EFE">
      <w:pPr>
        <w:spacing w:after="0" w:line="240" w:lineRule="auto"/>
      </w:pPr>
    </w:p>
    <w:p w:rsidR="00752EFE" w:rsidRPr="00752EFE" w:rsidRDefault="00752EFE" w:rsidP="00752EFE">
      <w:pPr>
        <w:spacing w:after="0" w:line="240" w:lineRule="auto"/>
      </w:pPr>
      <w:r w:rsidRPr="00752EFE">
        <w:t>The contracts are put in place for the whole of Network Rail to obtain economies of scale and reduce the number of contractual meetings.  National contracts also allow the supplier to provide one summary bill, usually per calendar month, together with electronic back-up detail which allows costs to be allocated to Routes or Projects via Energy-Link.</w:t>
      </w:r>
    </w:p>
    <w:p w:rsidR="00752EFE" w:rsidRPr="00752EFE" w:rsidRDefault="00752EFE" w:rsidP="00752EFE">
      <w:pPr>
        <w:spacing w:after="0" w:line="240" w:lineRule="auto"/>
      </w:pPr>
    </w:p>
    <w:p w:rsidR="00752EFE" w:rsidRPr="00752EFE" w:rsidRDefault="00752EFE" w:rsidP="00752EFE">
      <w:pPr>
        <w:spacing w:after="0" w:line="240" w:lineRule="auto"/>
      </w:pPr>
      <w:r w:rsidRPr="00752EFE">
        <w:t>The contracts cover:</w:t>
      </w:r>
    </w:p>
    <w:p w:rsidR="00752EFE" w:rsidRPr="00752EFE" w:rsidRDefault="00752EFE" w:rsidP="00752EFE">
      <w:pPr>
        <w:spacing w:after="0" w:line="240" w:lineRule="auto"/>
      </w:pPr>
      <w:hyperlink w:anchor="_Traction_Electricity" w:history="1">
        <w:r w:rsidRPr="00752EFE">
          <w:rPr>
            <w:color w:val="0000FF" w:themeColor="hyperlink"/>
            <w:u w:val="single"/>
          </w:rPr>
          <w:t>Traction Electricity</w:t>
        </w:r>
      </w:hyperlink>
    </w:p>
    <w:p w:rsidR="00752EFE" w:rsidRPr="00752EFE" w:rsidRDefault="00752EFE" w:rsidP="00752EFE">
      <w:pPr>
        <w:spacing w:after="0" w:line="240" w:lineRule="auto"/>
      </w:pPr>
      <w:hyperlink w:anchor="_Non-Traction_Electricity" w:history="1">
        <w:r w:rsidRPr="00752EFE">
          <w:rPr>
            <w:color w:val="0000FF" w:themeColor="hyperlink"/>
            <w:u w:val="single"/>
          </w:rPr>
          <w:t>Non-traction Electricity</w:t>
        </w:r>
      </w:hyperlink>
    </w:p>
    <w:p w:rsidR="00752EFE" w:rsidRPr="00752EFE" w:rsidRDefault="00752EFE" w:rsidP="00752EFE">
      <w:pPr>
        <w:spacing w:after="0" w:line="240" w:lineRule="auto"/>
      </w:pPr>
      <w:hyperlink w:anchor="_Mains_Gas" w:history="1">
        <w:r w:rsidRPr="00752EFE">
          <w:rPr>
            <w:color w:val="0000FF" w:themeColor="hyperlink"/>
            <w:u w:val="single"/>
          </w:rPr>
          <w:t>Mains Gas</w:t>
        </w:r>
      </w:hyperlink>
    </w:p>
    <w:p w:rsidR="00752EFE" w:rsidRPr="00752EFE" w:rsidRDefault="00752EFE" w:rsidP="00752EFE">
      <w:pPr>
        <w:spacing w:after="0" w:line="240" w:lineRule="auto"/>
      </w:pPr>
      <w:hyperlink w:anchor="_Water_(Scotland)" w:history="1">
        <w:r w:rsidRPr="00752EFE">
          <w:rPr>
            <w:color w:val="0000FF" w:themeColor="hyperlink"/>
            <w:u w:val="single"/>
          </w:rPr>
          <w:t>Water (Scotland)</w:t>
        </w:r>
      </w:hyperlink>
    </w:p>
    <w:p w:rsidR="00752EFE" w:rsidRPr="00752EFE" w:rsidRDefault="00752EFE" w:rsidP="00752EFE">
      <w:pPr>
        <w:spacing w:after="0" w:line="240" w:lineRule="auto"/>
      </w:pPr>
      <w:hyperlink w:anchor="_Water_(other)" w:history="1">
        <w:r w:rsidRPr="00752EFE">
          <w:rPr>
            <w:color w:val="0000FF" w:themeColor="hyperlink"/>
            <w:u w:val="single"/>
          </w:rPr>
          <w:t>Water (other)</w:t>
        </w:r>
      </w:hyperlink>
    </w:p>
    <w:p w:rsidR="00752EFE" w:rsidRPr="00752EFE" w:rsidRDefault="00752EFE" w:rsidP="00752EFE">
      <w:pPr>
        <w:spacing w:after="0" w:line="240" w:lineRule="auto"/>
      </w:pPr>
      <w:hyperlink w:anchor="_Metering" w:history="1">
        <w:r w:rsidRPr="00752EFE">
          <w:rPr>
            <w:color w:val="0000FF" w:themeColor="hyperlink"/>
            <w:u w:val="single"/>
          </w:rPr>
          <w:t>Metering</w:t>
        </w:r>
      </w:hyperlink>
    </w:p>
    <w:p w:rsidR="00752EFE" w:rsidRPr="00752EFE" w:rsidRDefault="00752EFE" w:rsidP="00752EFE">
      <w:pPr>
        <w:spacing w:after="0" w:line="240" w:lineRule="auto"/>
      </w:pPr>
    </w:p>
    <w:p w:rsidR="00752EFE" w:rsidRPr="00752EFE" w:rsidRDefault="00752EFE" w:rsidP="00752EFE">
      <w:pPr>
        <w:keepNext/>
        <w:keepLines/>
        <w:spacing w:before="240" w:after="120" w:line="240" w:lineRule="auto"/>
        <w:outlineLvl w:val="0"/>
        <w:rPr>
          <w:rFonts w:eastAsiaTheme="majorEastAsia" w:cstheme="majorBidi"/>
          <w:b/>
          <w:bCs/>
          <w:color w:val="000000" w:themeColor="text1"/>
          <w:sz w:val="28"/>
          <w:szCs w:val="28"/>
        </w:rPr>
      </w:pPr>
      <w:bookmarkStart w:id="0" w:name="_Traction_Electricity"/>
      <w:bookmarkEnd w:id="0"/>
      <w:r w:rsidRPr="00752EFE">
        <w:rPr>
          <w:rFonts w:eastAsiaTheme="majorEastAsia" w:cstheme="majorBidi"/>
          <w:b/>
          <w:bCs/>
          <w:color w:val="000000" w:themeColor="text1"/>
          <w:sz w:val="28"/>
          <w:szCs w:val="28"/>
        </w:rPr>
        <w:t>Traction Electricity</w:t>
      </w:r>
    </w:p>
    <w:p w:rsidR="00752EFE" w:rsidRPr="00752EFE" w:rsidRDefault="00752EFE" w:rsidP="00752EFE">
      <w:pPr>
        <w:spacing w:after="0" w:line="240" w:lineRule="auto"/>
      </w:pPr>
      <w:r w:rsidRPr="00752EFE">
        <w:t>The Traction Electricity contract was signed with EDF Energy in January 2013 and runs for 10 years from 1</w:t>
      </w:r>
      <w:r w:rsidRPr="00752EFE">
        <w:rPr>
          <w:vertAlign w:val="superscript"/>
        </w:rPr>
        <w:t>st</w:t>
      </w:r>
      <w:r w:rsidRPr="00752EFE">
        <w:t xml:space="preserve"> October 2014 to 30</w:t>
      </w:r>
      <w:r w:rsidRPr="00752EFE">
        <w:rPr>
          <w:vertAlign w:val="superscript"/>
        </w:rPr>
        <w:t>th</w:t>
      </w:r>
      <w:r w:rsidRPr="00752EFE">
        <w:t xml:space="preserve"> September 2024.  The scope includes all imported electricity through traction supply points (around 120) and the export of surplus regenerated electricity.  It is a flexible contract and the only element fixed at the outset was the management fee.  All other cost elements are passed through by EDF Energy once the actual rates are known.</w:t>
      </w:r>
    </w:p>
    <w:p w:rsidR="00752EFE" w:rsidRPr="00752EFE" w:rsidRDefault="00752EFE" w:rsidP="00752EFE">
      <w:pPr>
        <w:spacing w:after="0" w:line="240" w:lineRule="auto"/>
      </w:pPr>
    </w:p>
    <w:p w:rsidR="00752EFE" w:rsidRPr="00752EFE" w:rsidRDefault="00752EFE" w:rsidP="00752EFE">
      <w:pPr>
        <w:spacing w:after="0" w:line="240" w:lineRule="auto"/>
      </w:pPr>
      <w:r w:rsidRPr="00752EFE">
        <w:t>Total Consumption in 2016-17 is around 3,400,000,000 kWh (3,400GWh) and will cost around £300m.</w:t>
      </w:r>
    </w:p>
    <w:p w:rsidR="00752EFE" w:rsidRPr="00752EFE" w:rsidRDefault="00752EFE" w:rsidP="00752EFE">
      <w:pPr>
        <w:spacing w:after="0" w:line="240" w:lineRule="auto"/>
      </w:pPr>
    </w:p>
    <w:p w:rsidR="00752EFE" w:rsidRPr="00752EFE" w:rsidRDefault="00752EFE" w:rsidP="00752EFE">
      <w:pPr>
        <w:spacing w:after="0" w:line="240" w:lineRule="auto"/>
      </w:pPr>
      <w:r w:rsidRPr="00752EFE">
        <w:t xml:space="preserve">Some of the “traction” electricity is used for non-traction purposes (Non-Traction from Traction </w:t>
      </w:r>
      <w:proofErr w:type="spellStart"/>
      <w:r w:rsidRPr="00752EFE">
        <w:t>NTfT</w:t>
      </w:r>
      <w:proofErr w:type="spellEnd"/>
      <w:r w:rsidRPr="00752EFE">
        <w:t xml:space="preserve">): signalling on the West Coast route &amp; in South East &amp; Wessex Routes, Euston Station and Merseyside underground stations.  It is good to use traction derived electricity because the supply is more secure but the offtakes </w:t>
      </w:r>
      <w:r w:rsidRPr="00752EFE">
        <w:rPr>
          <w:b/>
        </w:rPr>
        <w:t>must</w:t>
      </w:r>
      <w:r w:rsidRPr="00752EFE">
        <w:t xml:space="preserve"> be metered.</w:t>
      </w:r>
    </w:p>
    <w:p w:rsidR="00752EFE" w:rsidRPr="00752EFE" w:rsidRDefault="00752EFE" w:rsidP="00752EFE">
      <w:pPr>
        <w:spacing w:after="0" w:line="240" w:lineRule="auto"/>
      </w:pPr>
    </w:p>
    <w:p w:rsidR="00752EFE" w:rsidRPr="00752EFE" w:rsidRDefault="00752EFE" w:rsidP="00752EFE">
      <w:pPr>
        <w:spacing w:after="0" w:line="240" w:lineRule="auto"/>
      </w:pPr>
      <w:r w:rsidRPr="00752EFE">
        <w:t xml:space="preserve">Appendix A shows a breakdown of the various cost elements.  The commodity or power station gate price now makes up less than half of the total cost.  The price must be locked ahead of the month of delivery.  Network Rail has passed responsibility for locking the price to the train operators (except for the </w:t>
      </w:r>
      <w:proofErr w:type="spellStart"/>
      <w:r w:rsidRPr="00752EFE">
        <w:t>NTfT</w:t>
      </w:r>
      <w:proofErr w:type="spellEnd"/>
      <w:r w:rsidRPr="00752EFE">
        <w:t xml:space="preserve"> portion).  The commodity price can be locked up to the end of the contract.</w:t>
      </w:r>
    </w:p>
    <w:p w:rsidR="00752EFE" w:rsidRPr="00752EFE" w:rsidRDefault="00752EFE" w:rsidP="00752EFE">
      <w:pPr>
        <w:spacing w:after="0" w:line="240" w:lineRule="auto"/>
      </w:pPr>
    </w:p>
    <w:p w:rsidR="00752EFE" w:rsidRPr="00752EFE" w:rsidRDefault="00752EFE" w:rsidP="00752EFE">
      <w:pPr>
        <w:spacing w:after="0" w:line="240" w:lineRule="auto"/>
      </w:pPr>
      <w:r w:rsidRPr="00752EFE">
        <w:t>The rate paid to EDF Energy is the same for each hour in any calendar month but will vary from month to month.  The only other time variation in the rate is for the period between 16:00-19:00, Mon-Fri, Nov-Feb, when the Capacity Market and Transmission costs are charged.  The majority of Distribution charges are fixed for the year or related to the agreed capacity.</w:t>
      </w:r>
    </w:p>
    <w:p w:rsidR="00752EFE" w:rsidRPr="00752EFE" w:rsidRDefault="00752EFE" w:rsidP="00752EFE">
      <w:pPr>
        <w:spacing w:after="0" w:line="240" w:lineRule="auto"/>
      </w:pPr>
    </w:p>
    <w:p w:rsidR="00752EFE" w:rsidRPr="00752EFE" w:rsidRDefault="00752EFE" w:rsidP="00752EFE">
      <w:pPr>
        <w:spacing w:after="0" w:line="240" w:lineRule="auto"/>
      </w:pPr>
      <w:r w:rsidRPr="00752EFE">
        <w:t>New Traction connections or changes should be discussed with Alan Bullock in the central Energy Management Team.</w:t>
      </w:r>
    </w:p>
    <w:p w:rsidR="00752EFE" w:rsidRPr="00752EFE" w:rsidRDefault="00752EFE" w:rsidP="00752EFE">
      <w:pPr>
        <w:spacing w:after="0" w:line="240" w:lineRule="auto"/>
      </w:pPr>
    </w:p>
    <w:p w:rsidR="00B86193" w:rsidRDefault="00B86193" w:rsidP="00752EFE">
      <w:pPr>
        <w:keepNext/>
        <w:keepLines/>
        <w:spacing w:before="240" w:after="120" w:line="240" w:lineRule="auto"/>
        <w:outlineLvl w:val="0"/>
        <w:rPr>
          <w:rFonts w:eastAsiaTheme="majorEastAsia" w:cstheme="majorBidi"/>
          <w:b/>
          <w:bCs/>
          <w:color w:val="000000" w:themeColor="text1"/>
          <w:sz w:val="28"/>
          <w:szCs w:val="28"/>
        </w:rPr>
      </w:pPr>
      <w:bookmarkStart w:id="1" w:name="_Non-Traction_Electricity"/>
      <w:bookmarkEnd w:id="1"/>
    </w:p>
    <w:p w:rsidR="00B86193" w:rsidRDefault="00B86193" w:rsidP="00752EFE">
      <w:pPr>
        <w:keepNext/>
        <w:keepLines/>
        <w:spacing w:before="240" w:after="120" w:line="240" w:lineRule="auto"/>
        <w:outlineLvl w:val="0"/>
        <w:rPr>
          <w:rFonts w:eastAsiaTheme="majorEastAsia" w:cstheme="majorBidi"/>
          <w:b/>
          <w:bCs/>
          <w:color w:val="000000" w:themeColor="text1"/>
          <w:sz w:val="28"/>
          <w:szCs w:val="28"/>
        </w:rPr>
      </w:pPr>
    </w:p>
    <w:p w:rsidR="00752EFE" w:rsidRPr="00752EFE" w:rsidRDefault="00752EFE" w:rsidP="00752EFE">
      <w:pPr>
        <w:keepNext/>
        <w:keepLines/>
        <w:spacing w:before="240" w:after="120" w:line="240" w:lineRule="auto"/>
        <w:outlineLvl w:val="0"/>
        <w:rPr>
          <w:rFonts w:eastAsiaTheme="majorEastAsia" w:cstheme="majorBidi"/>
          <w:b/>
          <w:bCs/>
          <w:color w:val="000000" w:themeColor="text1"/>
          <w:sz w:val="28"/>
          <w:szCs w:val="28"/>
        </w:rPr>
      </w:pPr>
      <w:r w:rsidRPr="00752EFE">
        <w:rPr>
          <w:rFonts w:eastAsiaTheme="majorEastAsia" w:cstheme="majorBidi"/>
          <w:b/>
          <w:bCs/>
          <w:color w:val="000000" w:themeColor="text1"/>
          <w:sz w:val="28"/>
          <w:szCs w:val="28"/>
        </w:rPr>
        <w:t>Non-Traction Electricity</w:t>
      </w:r>
    </w:p>
    <w:p w:rsidR="00752EFE" w:rsidRPr="00752EFE" w:rsidRDefault="00752EFE" w:rsidP="00752EFE">
      <w:pPr>
        <w:spacing w:after="0" w:line="240" w:lineRule="auto"/>
      </w:pPr>
      <w:r w:rsidRPr="00752EFE">
        <w:t>The Non-traction Electricity contract is with npower and runs from 1</w:t>
      </w:r>
      <w:r w:rsidRPr="00752EFE">
        <w:rPr>
          <w:vertAlign w:val="superscript"/>
        </w:rPr>
        <w:t>st</w:t>
      </w:r>
      <w:r w:rsidRPr="00752EFE">
        <w:t xml:space="preserve"> April 2015 to 31</w:t>
      </w:r>
      <w:r w:rsidRPr="00752EFE">
        <w:rPr>
          <w:vertAlign w:val="superscript"/>
        </w:rPr>
        <w:t>st</w:t>
      </w:r>
      <w:r w:rsidRPr="00752EFE">
        <w:t xml:space="preserve"> March 2020, with options to extend up to 31</w:t>
      </w:r>
      <w:r w:rsidRPr="00752EFE">
        <w:rPr>
          <w:vertAlign w:val="superscript"/>
        </w:rPr>
        <w:t>st</w:t>
      </w:r>
      <w:r w:rsidRPr="00752EFE">
        <w:t xml:space="preserve"> March 2023.  The scope includes all supplies to all operational sites and directly managed offices.  It does not yet include most Commercial Property sites.</w:t>
      </w:r>
    </w:p>
    <w:p w:rsidR="00752EFE" w:rsidRPr="00752EFE" w:rsidRDefault="00752EFE" w:rsidP="00752EFE">
      <w:pPr>
        <w:spacing w:after="0" w:line="240" w:lineRule="auto"/>
      </w:pPr>
    </w:p>
    <w:p w:rsidR="00752EFE" w:rsidRPr="00752EFE" w:rsidRDefault="00752EFE" w:rsidP="00752EFE">
      <w:pPr>
        <w:spacing w:after="0" w:line="240" w:lineRule="auto"/>
      </w:pPr>
      <w:r w:rsidRPr="00752EFE">
        <w:t xml:space="preserve">Total Consumption in 2016-17 is around 440,000,000 kWh (440 </w:t>
      </w:r>
      <w:proofErr w:type="spellStart"/>
      <w:r w:rsidRPr="00752EFE">
        <w:t>GWh</w:t>
      </w:r>
      <w:proofErr w:type="spellEnd"/>
      <w:r w:rsidRPr="00752EFE">
        <w:t>) and will cost around £48m.</w:t>
      </w:r>
    </w:p>
    <w:p w:rsidR="00752EFE" w:rsidRPr="00752EFE" w:rsidRDefault="00752EFE" w:rsidP="00752EFE">
      <w:pPr>
        <w:spacing w:after="0" w:line="240" w:lineRule="auto"/>
      </w:pPr>
    </w:p>
    <w:p w:rsidR="00752EFE" w:rsidRPr="00752EFE" w:rsidRDefault="00752EFE" w:rsidP="00752EFE">
      <w:pPr>
        <w:spacing w:after="0" w:line="240" w:lineRule="auto"/>
      </w:pPr>
      <w:r w:rsidRPr="00752EFE">
        <w:t xml:space="preserve">The portfolio is split into 2 portions: sites that are Half-Hourly (HH) metered (around 500 sites) and </w:t>
      </w:r>
      <w:proofErr w:type="spellStart"/>
      <w:r w:rsidRPr="00752EFE">
        <w:t>non half-</w:t>
      </w:r>
      <w:proofErr w:type="spellEnd"/>
      <w:r w:rsidRPr="00752EFE">
        <w:t>hourly (NHH) metered (7,300 sites).</w:t>
      </w:r>
    </w:p>
    <w:p w:rsidR="00752EFE" w:rsidRPr="00752EFE" w:rsidRDefault="00752EFE" w:rsidP="00752EFE">
      <w:pPr>
        <w:spacing w:after="0" w:line="240" w:lineRule="auto"/>
      </w:pPr>
    </w:p>
    <w:p w:rsidR="00752EFE" w:rsidRPr="00752EFE" w:rsidRDefault="00752EFE" w:rsidP="00752EFE">
      <w:pPr>
        <w:spacing w:after="0" w:line="240" w:lineRule="auto"/>
      </w:pPr>
      <w:r w:rsidRPr="00752EFE">
        <w:t>Rates for Half-hourly metered sites vary each quarter and for day (07:00-24:00) and night.  Many other cost elements are passed through as for Traction including Transmission and Capacity (see appendix A).  Distribution charges include Capacity charges and “peak” unit rates.</w:t>
      </w:r>
    </w:p>
    <w:p w:rsidR="00752EFE" w:rsidRPr="00752EFE" w:rsidRDefault="00752EFE" w:rsidP="00752EFE">
      <w:pPr>
        <w:spacing w:after="0" w:line="240" w:lineRule="auto"/>
      </w:pPr>
    </w:p>
    <w:p w:rsidR="00752EFE" w:rsidRPr="00752EFE" w:rsidRDefault="00752EFE" w:rsidP="00752EFE">
      <w:pPr>
        <w:spacing w:after="0" w:line="240" w:lineRule="auto"/>
      </w:pPr>
      <w:r w:rsidRPr="00752EFE">
        <w:t xml:space="preserve">NHH rates are dependent on the metering classification for the site, </w:t>
      </w:r>
      <w:proofErr w:type="spellStart"/>
      <w:r w:rsidRPr="00752EFE">
        <w:t>i.e</w:t>
      </w:r>
      <w:proofErr w:type="spellEnd"/>
      <w:r w:rsidRPr="00752EFE">
        <w:t xml:space="preserve"> single rate, Day/Night, Evening Weekend or Evening Weekend Day/Night.  With the installation of smart meters, the tariffs available may change to encourage energy reduction at certain times of day.</w:t>
      </w:r>
    </w:p>
    <w:p w:rsidR="00752EFE" w:rsidRPr="00752EFE" w:rsidRDefault="00752EFE" w:rsidP="00752EFE">
      <w:pPr>
        <w:spacing w:after="0" w:line="240" w:lineRule="auto"/>
      </w:pPr>
    </w:p>
    <w:p w:rsidR="00752EFE" w:rsidRPr="00752EFE" w:rsidRDefault="00752EFE" w:rsidP="00752EFE">
      <w:pPr>
        <w:spacing w:after="0" w:line="240" w:lineRule="auto"/>
      </w:pPr>
      <w:r w:rsidRPr="00752EFE">
        <w:t>New Connection or supply change requirements should be discussed with the Route Utilities Specialists before following the Utilities Change Standard.</w:t>
      </w:r>
    </w:p>
    <w:p w:rsidR="00752EFE" w:rsidRPr="00752EFE" w:rsidRDefault="00752EFE" w:rsidP="00752EFE">
      <w:pPr>
        <w:spacing w:after="0" w:line="240" w:lineRule="auto"/>
      </w:pPr>
    </w:p>
    <w:p w:rsidR="00752EFE" w:rsidRPr="00752EFE" w:rsidRDefault="00752EFE" w:rsidP="00752EFE">
      <w:pPr>
        <w:keepNext/>
        <w:keepLines/>
        <w:spacing w:before="240" w:after="120" w:line="240" w:lineRule="auto"/>
        <w:outlineLvl w:val="0"/>
        <w:rPr>
          <w:rFonts w:eastAsiaTheme="majorEastAsia" w:cstheme="majorBidi"/>
          <w:b/>
          <w:bCs/>
          <w:color w:val="000000" w:themeColor="text1"/>
          <w:sz w:val="28"/>
          <w:szCs w:val="28"/>
        </w:rPr>
      </w:pPr>
      <w:bookmarkStart w:id="2" w:name="_Mains_Gas"/>
      <w:bookmarkEnd w:id="2"/>
      <w:r w:rsidRPr="00752EFE">
        <w:rPr>
          <w:rFonts w:eastAsiaTheme="majorEastAsia" w:cstheme="majorBidi"/>
          <w:b/>
          <w:bCs/>
          <w:color w:val="000000" w:themeColor="text1"/>
          <w:sz w:val="28"/>
          <w:szCs w:val="28"/>
        </w:rPr>
        <w:t>Mains Gas</w:t>
      </w:r>
    </w:p>
    <w:p w:rsidR="00752EFE" w:rsidRPr="00752EFE" w:rsidRDefault="00752EFE" w:rsidP="00752EFE">
      <w:pPr>
        <w:spacing w:after="0" w:line="240" w:lineRule="auto"/>
      </w:pPr>
      <w:r w:rsidRPr="00752EFE">
        <w:t>The Mains Gas contract is also with npower and runs from 1</w:t>
      </w:r>
      <w:r w:rsidRPr="00752EFE">
        <w:rPr>
          <w:vertAlign w:val="superscript"/>
        </w:rPr>
        <w:t>st</w:t>
      </w:r>
      <w:r w:rsidRPr="00752EFE">
        <w:t xml:space="preserve"> October 2016 to 30</w:t>
      </w:r>
      <w:r w:rsidRPr="00752EFE">
        <w:rPr>
          <w:vertAlign w:val="superscript"/>
        </w:rPr>
        <w:t>th</w:t>
      </w:r>
      <w:r w:rsidRPr="00752EFE">
        <w:t xml:space="preserve"> September 2021, with options to extend up to 30</w:t>
      </w:r>
      <w:r w:rsidRPr="00752EFE">
        <w:rPr>
          <w:vertAlign w:val="superscript"/>
        </w:rPr>
        <w:t>th</w:t>
      </w:r>
      <w:r w:rsidRPr="00752EFE">
        <w:t xml:space="preserve"> September 2024.  The scope includes all supplies to all operational sites and directly managed offices.  It does not yet include most Commercial Property sites, though the requirement is small.</w:t>
      </w:r>
    </w:p>
    <w:p w:rsidR="00752EFE" w:rsidRPr="00752EFE" w:rsidRDefault="00752EFE" w:rsidP="00752EFE">
      <w:pPr>
        <w:spacing w:after="0" w:line="240" w:lineRule="auto"/>
      </w:pPr>
    </w:p>
    <w:p w:rsidR="00752EFE" w:rsidRPr="00752EFE" w:rsidRDefault="00752EFE" w:rsidP="00752EFE">
      <w:pPr>
        <w:spacing w:after="0" w:line="240" w:lineRule="auto"/>
      </w:pPr>
      <w:r w:rsidRPr="00752EFE">
        <w:t xml:space="preserve">Consumption is around 60,000,000 kWh (60 </w:t>
      </w:r>
      <w:proofErr w:type="spellStart"/>
      <w:r w:rsidRPr="00752EFE">
        <w:t>GWh</w:t>
      </w:r>
      <w:proofErr w:type="spellEnd"/>
      <w:r w:rsidRPr="00752EFE">
        <w:t>) and costs around £1.5m though it is very dependent on winter temperatures.</w:t>
      </w:r>
    </w:p>
    <w:p w:rsidR="00752EFE" w:rsidRPr="00752EFE" w:rsidRDefault="00752EFE" w:rsidP="00752EFE">
      <w:pPr>
        <w:spacing w:after="0" w:line="240" w:lineRule="auto"/>
      </w:pPr>
    </w:p>
    <w:p w:rsidR="00752EFE" w:rsidRPr="00752EFE" w:rsidRDefault="00752EFE" w:rsidP="00752EFE">
      <w:pPr>
        <w:spacing w:after="0" w:line="240" w:lineRule="auto"/>
      </w:pPr>
      <w:r w:rsidRPr="00752EFE">
        <w:t>Rates are relatively simple: A commodity rate (p/kWh), delivery rates that vary with location (p/kWh and p/day) and climate change levy (p/kWh).</w:t>
      </w:r>
    </w:p>
    <w:p w:rsidR="00752EFE" w:rsidRPr="00752EFE" w:rsidRDefault="00752EFE" w:rsidP="00752EFE">
      <w:pPr>
        <w:spacing w:after="0" w:line="240" w:lineRule="auto"/>
      </w:pPr>
    </w:p>
    <w:p w:rsidR="00752EFE" w:rsidRPr="00752EFE" w:rsidRDefault="00752EFE" w:rsidP="00752EFE">
      <w:pPr>
        <w:spacing w:after="0" w:line="240" w:lineRule="auto"/>
      </w:pPr>
      <w:r w:rsidRPr="00752EFE">
        <w:t>New Connection or supply change requirements should be discussed with the Route Utilities Specialists before following the Utilities Change Standard.</w:t>
      </w:r>
    </w:p>
    <w:p w:rsidR="00752EFE" w:rsidRPr="00752EFE" w:rsidRDefault="00752EFE" w:rsidP="00752EFE">
      <w:pPr>
        <w:spacing w:after="0" w:line="240" w:lineRule="auto"/>
      </w:pPr>
    </w:p>
    <w:p w:rsidR="00752EFE" w:rsidRPr="00752EFE" w:rsidRDefault="00752EFE" w:rsidP="00752EFE">
      <w:pPr>
        <w:keepNext/>
        <w:keepLines/>
        <w:spacing w:before="240" w:after="120" w:line="240" w:lineRule="auto"/>
        <w:outlineLvl w:val="0"/>
        <w:rPr>
          <w:rFonts w:eastAsiaTheme="majorEastAsia" w:cstheme="majorBidi"/>
          <w:b/>
          <w:bCs/>
          <w:color w:val="000000" w:themeColor="text1"/>
          <w:sz w:val="28"/>
          <w:szCs w:val="28"/>
        </w:rPr>
      </w:pPr>
      <w:bookmarkStart w:id="3" w:name="_Water_(Scotland)"/>
      <w:bookmarkEnd w:id="3"/>
      <w:r w:rsidRPr="00752EFE">
        <w:rPr>
          <w:rFonts w:eastAsiaTheme="majorEastAsia" w:cstheme="majorBidi"/>
          <w:b/>
          <w:bCs/>
          <w:color w:val="000000" w:themeColor="text1"/>
          <w:sz w:val="28"/>
          <w:szCs w:val="28"/>
        </w:rPr>
        <w:t>Water (Scotland)</w:t>
      </w:r>
    </w:p>
    <w:p w:rsidR="00752EFE" w:rsidRPr="00752EFE" w:rsidRDefault="00752EFE" w:rsidP="00752EFE">
      <w:pPr>
        <w:spacing w:after="0" w:line="240" w:lineRule="auto"/>
      </w:pPr>
      <w:r w:rsidRPr="00752EFE">
        <w:t>Water in Scotland was the first area to become fully de-regulated for all business supplies.  NR signed a contract with Business Stream that ran from 1</w:t>
      </w:r>
      <w:r w:rsidRPr="00752EFE">
        <w:rPr>
          <w:vertAlign w:val="superscript"/>
        </w:rPr>
        <w:t>st</w:t>
      </w:r>
      <w:r w:rsidRPr="00752EFE">
        <w:t xml:space="preserve"> March 2012 to 28</w:t>
      </w:r>
      <w:r w:rsidRPr="00752EFE">
        <w:rPr>
          <w:vertAlign w:val="superscript"/>
        </w:rPr>
        <w:t>th</w:t>
      </w:r>
      <w:r w:rsidRPr="00752EFE">
        <w:t xml:space="preserve"> February 2017 but has been extended to 30</w:t>
      </w:r>
      <w:r w:rsidRPr="00752EFE">
        <w:rPr>
          <w:vertAlign w:val="superscript"/>
        </w:rPr>
        <w:t>th</w:t>
      </w:r>
      <w:r w:rsidRPr="00752EFE">
        <w:t xml:space="preserve"> November 2017 to align with contracts being put in place for water in England.</w:t>
      </w:r>
    </w:p>
    <w:p w:rsidR="00752EFE" w:rsidRPr="00752EFE" w:rsidRDefault="00752EFE" w:rsidP="00752EFE">
      <w:pPr>
        <w:spacing w:after="0" w:line="240" w:lineRule="auto"/>
      </w:pPr>
    </w:p>
    <w:p w:rsidR="00B86193" w:rsidRDefault="00B86193" w:rsidP="00752EFE">
      <w:pPr>
        <w:keepNext/>
        <w:keepLines/>
        <w:spacing w:before="240" w:after="120" w:line="240" w:lineRule="auto"/>
        <w:outlineLvl w:val="0"/>
        <w:rPr>
          <w:rFonts w:eastAsiaTheme="majorEastAsia" w:cstheme="majorBidi"/>
          <w:b/>
          <w:bCs/>
          <w:color w:val="000000" w:themeColor="text1"/>
          <w:sz w:val="28"/>
          <w:szCs w:val="28"/>
        </w:rPr>
      </w:pPr>
      <w:bookmarkStart w:id="4" w:name="_Water_(other)"/>
      <w:bookmarkEnd w:id="4"/>
    </w:p>
    <w:p w:rsidR="00B86193" w:rsidRDefault="00B86193" w:rsidP="00752EFE">
      <w:pPr>
        <w:keepNext/>
        <w:keepLines/>
        <w:spacing w:before="240" w:after="120" w:line="240" w:lineRule="auto"/>
        <w:outlineLvl w:val="0"/>
        <w:rPr>
          <w:rFonts w:eastAsiaTheme="majorEastAsia" w:cstheme="majorBidi"/>
          <w:b/>
          <w:bCs/>
          <w:color w:val="000000" w:themeColor="text1"/>
          <w:sz w:val="28"/>
          <w:szCs w:val="28"/>
        </w:rPr>
      </w:pPr>
    </w:p>
    <w:p w:rsidR="00752EFE" w:rsidRPr="00752EFE" w:rsidRDefault="00752EFE" w:rsidP="00752EFE">
      <w:pPr>
        <w:keepNext/>
        <w:keepLines/>
        <w:spacing w:before="240" w:after="120" w:line="240" w:lineRule="auto"/>
        <w:outlineLvl w:val="0"/>
        <w:rPr>
          <w:rFonts w:eastAsiaTheme="majorEastAsia" w:cstheme="majorBidi"/>
          <w:b/>
          <w:bCs/>
          <w:color w:val="000000" w:themeColor="text1"/>
          <w:sz w:val="28"/>
          <w:szCs w:val="28"/>
        </w:rPr>
      </w:pPr>
      <w:r w:rsidRPr="00752EFE">
        <w:rPr>
          <w:rFonts w:eastAsiaTheme="majorEastAsia" w:cstheme="majorBidi"/>
          <w:b/>
          <w:bCs/>
          <w:color w:val="000000" w:themeColor="text1"/>
          <w:sz w:val="28"/>
          <w:szCs w:val="28"/>
        </w:rPr>
        <w:t>Water (other)</w:t>
      </w:r>
    </w:p>
    <w:p w:rsidR="00752EFE" w:rsidRPr="00752EFE" w:rsidRDefault="00752EFE" w:rsidP="00752EFE">
      <w:pPr>
        <w:spacing w:after="0" w:line="240" w:lineRule="auto"/>
      </w:pPr>
      <w:r w:rsidRPr="00752EFE">
        <w:t>The water market in England becomes fully de-regulated from 1</w:t>
      </w:r>
      <w:r w:rsidRPr="00752EFE">
        <w:rPr>
          <w:vertAlign w:val="superscript"/>
        </w:rPr>
        <w:t>st</w:t>
      </w:r>
      <w:r w:rsidRPr="00752EFE">
        <w:t xml:space="preserve"> April 2017 and NR is in the process of putting in place contracts to cover England and Scotland.</w:t>
      </w:r>
    </w:p>
    <w:p w:rsidR="00752EFE" w:rsidRPr="00752EFE" w:rsidRDefault="00752EFE" w:rsidP="00752EFE">
      <w:pPr>
        <w:spacing w:after="0" w:line="240" w:lineRule="auto"/>
      </w:pPr>
    </w:p>
    <w:p w:rsidR="00752EFE" w:rsidRPr="00752EFE" w:rsidRDefault="00752EFE" w:rsidP="00752EFE">
      <w:pPr>
        <w:spacing w:after="0" w:line="240" w:lineRule="auto"/>
      </w:pPr>
      <w:r w:rsidRPr="00752EFE">
        <w:t>The Welsh Assembly has not yet agreed to Welsh sites being included in the de-regulated market.</w:t>
      </w:r>
    </w:p>
    <w:p w:rsidR="00752EFE" w:rsidRPr="00752EFE" w:rsidRDefault="00752EFE" w:rsidP="00752EFE">
      <w:pPr>
        <w:spacing w:after="0" w:line="240" w:lineRule="auto"/>
      </w:pPr>
      <w:r w:rsidRPr="00752EFE">
        <w:t xml:space="preserve">Water bills generally consist of four sets of charges: a metering charge (which varies depending upon the size of meter and pipework installed, a volumetric water charge, a volumetric sewerage charge and a fixed sewerage charge which can vary according to the size or value of the site.  </w:t>
      </w:r>
    </w:p>
    <w:p w:rsidR="00752EFE" w:rsidRPr="00752EFE" w:rsidRDefault="00752EFE" w:rsidP="00752EFE">
      <w:pPr>
        <w:spacing w:after="0" w:line="240" w:lineRule="auto"/>
      </w:pPr>
    </w:p>
    <w:p w:rsidR="00752EFE" w:rsidRPr="00752EFE" w:rsidRDefault="00752EFE" w:rsidP="00752EFE">
      <w:pPr>
        <w:keepNext/>
        <w:keepLines/>
        <w:spacing w:before="240" w:after="120" w:line="240" w:lineRule="auto"/>
        <w:outlineLvl w:val="0"/>
        <w:rPr>
          <w:rFonts w:eastAsiaTheme="majorEastAsia" w:cstheme="majorBidi"/>
          <w:b/>
          <w:bCs/>
          <w:color w:val="000000" w:themeColor="text1"/>
          <w:sz w:val="28"/>
          <w:szCs w:val="28"/>
        </w:rPr>
      </w:pPr>
      <w:bookmarkStart w:id="5" w:name="_Metering"/>
      <w:bookmarkEnd w:id="5"/>
      <w:r w:rsidRPr="00752EFE">
        <w:rPr>
          <w:rFonts w:eastAsiaTheme="majorEastAsia" w:cstheme="majorBidi"/>
          <w:b/>
          <w:bCs/>
          <w:color w:val="000000" w:themeColor="text1"/>
          <w:sz w:val="28"/>
          <w:szCs w:val="28"/>
        </w:rPr>
        <w:t>Metering</w:t>
      </w:r>
    </w:p>
    <w:p w:rsidR="00752EFE" w:rsidRPr="00752EFE" w:rsidRDefault="00752EFE" w:rsidP="00752EFE">
      <w:pPr>
        <w:spacing w:after="0" w:line="240" w:lineRule="auto"/>
      </w:pPr>
      <w:r w:rsidRPr="00752EFE">
        <w:t xml:space="preserve">The majority of Network Rail’s electricity metering service is undertaken by SMS under a contract that runs from 1st January 2016 to 31st December 2020 with options to extend to 31st December 2023.  The scope includes meter provision and meter operation for all non-traction meters and non-managed stations </w:t>
      </w:r>
      <w:proofErr w:type="spellStart"/>
      <w:r w:rsidRPr="00752EFE">
        <w:t>submeters</w:t>
      </w:r>
      <w:proofErr w:type="spellEnd"/>
      <w:r w:rsidRPr="00752EFE">
        <w:t xml:space="preserve"> and data collection for all NHH meters and sub-meters (HH data collection is carried out by npower).</w:t>
      </w:r>
    </w:p>
    <w:p w:rsidR="00752EFE" w:rsidRPr="00752EFE" w:rsidRDefault="00752EFE" w:rsidP="00752EFE">
      <w:pPr>
        <w:spacing w:after="0" w:line="240" w:lineRule="auto"/>
      </w:pPr>
    </w:p>
    <w:p w:rsidR="00752EFE" w:rsidRPr="00752EFE" w:rsidRDefault="00752EFE" w:rsidP="00752EFE">
      <w:pPr>
        <w:spacing w:after="0" w:line="240" w:lineRule="auto"/>
      </w:pPr>
      <w:r w:rsidRPr="00752EFE">
        <w:t>EDF EFS are contracted over the same period to provide Traction meters and meter operation services.</w:t>
      </w:r>
    </w:p>
    <w:p w:rsidR="00752EFE" w:rsidRPr="00752EFE" w:rsidRDefault="00752EFE" w:rsidP="00752EFE">
      <w:pPr>
        <w:spacing w:after="0" w:line="240" w:lineRule="auto"/>
      </w:pPr>
    </w:p>
    <w:p w:rsidR="00752EFE" w:rsidRPr="00752EFE" w:rsidRDefault="00752EFE" w:rsidP="00752EFE">
      <w:pPr>
        <w:spacing w:after="0" w:line="240" w:lineRule="auto"/>
      </w:pPr>
      <w:r w:rsidRPr="00752EFE">
        <w:t>Gas metering is included within the npower gas contract and the introduction of automatic metering is being carried out as part of this contract.</w:t>
      </w:r>
    </w:p>
    <w:p w:rsidR="00752EFE" w:rsidRPr="00752EFE" w:rsidRDefault="00752EFE" w:rsidP="00752EFE">
      <w:pPr>
        <w:spacing w:after="0" w:line="240" w:lineRule="auto"/>
      </w:pPr>
    </w:p>
    <w:p w:rsidR="00752EFE" w:rsidRPr="00752EFE" w:rsidRDefault="00752EFE" w:rsidP="00752EFE">
      <w:pPr>
        <w:spacing w:after="0" w:line="240" w:lineRule="auto"/>
      </w:pPr>
      <w:r w:rsidRPr="00752EFE">
        <w:t>Water metering will also be provided by the appointed water supplier(s) and it is intended to include automatic metering and water reduction services within the contract.</w:t>
      </w:r>
    </w:p>
    <w:p w:rsidR="00752EFE" w:rsidRPr="00752EFE" w:rsidRDefault="00752EFE" w:rsidP="00752EFE">
      <w:pPr>
        <w:spacing w:after="0" w:line="240" w:lineRule="auto"/>
      </w:pPr>
    </w:p>
    <w:p w:rsidR="00752EFE" w:rsidRPr="00752EFE" w:rsidRDefault="00752EFE" w:rsidP="00752EFE">
      <w:pPr>
        <w:spacing w:after="0" w:line="240" w:lineRule="auto"/>
      </w:pPr>
      <w:r w:rsidRPr="00752EFE">
        <w:t>There are some other specialist contracts, for example: dc metering for conductor rail heating – PAD Technology Ltd.</w:t>
      </w:r>
    </w:p>
    <w:p w:rsidR="00752EFE" w:rsidRPr="00752EFE" w:rsidRDefault="00752EFE" w:rsidP="00752EFE">
      <w:pPr>
        <w:spacing w:after="0" w:line="240" w:lineRule="auto"/>
      </w:pPr>
    </w:p>
    <w:p w:rsidR="00752EFE" w:rsidRPr="00752EFE" w:rsidRDefault="00752EFE" w:rsidP="00752EFE">
      <w:pPr>
        <w:spacing w:after="0" w:line="240" w:lineRule="auto"/>
      </w:pPr>
      <w:bookmarkStart w:id="6" w:name="_GoBack"/>
      <w:bookmarkEnd w:id="6"/>
    </w:p>
    <w:p w:rsidR="00752EFE" w:rsidRPr="00752EFE" w:rsidRDefault="00752EFE" w:rsidP="00752EFE">
      <w:pPr>
        <w:spacing w:after="0" w:line="240" w:lineRule="auto"/>
      </w:pPr>
    </w:p>
    <w:p w:rsidR="00752EFE" w:rsidRPr="00752EFE" w:rsidRDefault="00752EFE" w:rsidP="00752EFE">
      <w:r w:rsidRPr="00752EFE">
        <w:br w:type="page"/>
      </w:r>
    </w:p>
    <w:p w:rsidR="00B86193" w:rsidRDefault="00B86193" w:rsidP="00752EFE">
      <w:pPr>
        <w:spacing w:after="0" w:line="240" w:lineRule="auto"/>
      </w:pPr>
    </w:p>
    <w:p w:rsidR="00B86193" w:rsidRDefault="00B86193" w:rsidP="00752EFE">
      <w:pPr>
        <w:spacing w:after="0" w:line="240" w:lineRule="auto"/>
      </w:pPr>
    </w:p>
    <w:p w:rsidR="00B86193" w:rsidRDefault="00B86193" w:rsidP="00752EFE">
      <w:pPr>
        <w:spacing w:after="0" w:line="240" w:lineRule="auto"/>
      </w:pPr>
    </w:p>
    <w:p w:rsidR="00B86193" w:rsidRDefault="00B86193" w:rsidP="00752EFE">
      <w:pPr>
        <w:spacing w:after="0" w:line="240" w:lineRule="auto"/>
      </w:pPr>
    </w:p>
    <w:p w:rsidR="00752EFE" w:rsidRPr="00752EFE" w:rsidRDefault="00752EFE" w:rsidP="00752EFE">
      <w:pPr>
        <w:spacing w:after="0" w:line="240" w:lineRule="auto"/>
      </w:pPr>
      <w:r w:rsidRPr="00752EFE">
        <w:t>Appendix A: Electricity Cost Breakdown</w:t>
      </w:r>
    </w:p>
    <w:p w:rsidR="00752EFE" w:rsidRPr="00752EFE" w:rsidRDefault="00752EFE" w:rsidP="00752EFE">
      <w:pPr>
        <w:spacing w:after="0" w:line="240" w:lineRule="auto"/>
        <w:rPr>
          <w:sz w:val="20"/>
          <w:szCs w:val="20"/>
        </w:rPr>
      </w:pPr>
    </w:p>
    <w:tbl>
      <w:tblPr>
        <w:tblStyle w:val="TableGrid"/>
        <w:tblW w:w="0" w:type="auto"/>
        <w:tblLook w:val="04A0" w:firstRow="1" w:lastRow="0" w:firstColumn="1" w:lastColumn="0" w:noHBand="0" w:noVBand="1"/>
      </w:tblPr>
      <w:tblGrid>
        <w:gridCol w:w="2354"/>
        <w:gridCol w:w="1276"/>
        <w:gridCol w:w="3391"/>
        <w:gridCol w:w="955"/>
        <w:gridCol w:w="955"/>
      </w:tblGrid>
      <w:tr w:rsidR="00752EFE" w:rsidRPr="00752EFE" w:rsidTr="00215690">
        <w:trPr>
          <w:trHeight w:val="300"/>
        </w:trPr>
        <w:tc>
          <w:tcPr>
            <w:tcW w:w="2354" w:type="dxa"/>
            <w:noWrap/>
            <w:hideMark/>
          </w:tcPr>
          <w:p w:rsidR="00752EFE" w:rsidRPr="00752EFE" w:rsidRDefault="00752EFE" w:rsidP="00752EFE">
            <w:pPr>
              <w:rPr>
                <w:b/>
                <w:sz w:val="20"/>
                <w:szCs w:val="20"/>
              </w:rPr>
            </w:pPr>
            <w:r w:rsidRPr="00752EFE">
              <w:rPr>
                <w:b/>
                <w:sz w:val="20"/>
                <w:szCs w:val="20"/>
              </w:rPr>
              <w:t>Cost Element</w:t>
            </w:r>
          </w:p>
        </w:tc>
        <w:tc>
          <w:tcPr>
            <w:tcW w:w="1276" w:type="dxa"/>
            <w:noWrap/>
            <w:hideMark/>
          </w:tcPr>
          <w:p w:rsidR="00752EFE" w:rsidRPr="00752EFE" w:rsidRDefault="00752EFE" w:rsidP="00752EFE">
            <w:pPr>
              <w:rPr>
                <w:b/>
                <w:sz w:val="20"/>
                <w:szCs w:val="20"/>
              </w:rPr>
            </w:pPr>
            <w:r w:rsidRPr="00752EFE">
              <w:rPr>
                <w:b/>
                <w:sz w:val="20"/>
                <w:szCs w:val="20"/>
              </w:rPr>
              <w:t>Set By</w:t>
            </w:r>
          </w:p>
        </w:tc>
        <w:tc>
          <w:tcPr>
            <w:tcW w:w="3391" w:type="dxa"/>
            <w:noWrap/>
            <w:hideMark/>
          </w:tcPr>
          <w:p w:rsidR="00752EFE" w:rsidRPr="00752EFE" w:rsidRDefault="00752EFE" w:rsidP="00752EFE">
            <w:pPr>
              <w:rPr>
                <w:b/>
                <w:sz w:val="20"/>
                <w:szCs w:val="20"/>
              </w:rPr>
            </w:pPr>
            <w:r w:rsidRPr="00752EFE">
              <w:rPr>
                <w:b/>
                <w:sz w:val="20"/>
                <w:szCs w:val="20"/>
              </w:rPr>
              <w:t>Purpose</w:t>
            </w:r>
          </w:p>
        </w:tc>
        <w:tc>
          <w:tcPr>
            <w:tcW w:w="955" w:type="dxa"/>
            <w:noWrap/>
            <w:hideMark/>
          </w:tcPr>
          <w:p w:rsidR="00752EFE" w:rsidRPr="00752EFE" w:rsidRDefault="00752EFE" w:rsidP="00752EFE">
            <w:pPr>
              <w:rPr>
                <w:b/>
                <w:sz w:val="20"/>
                <w:szCs w:val="20"/>
              </w:rPr>
            </w:pPr>
            <w:r w:rsidRPr="00752EFE">
              <w:rPr>
                <w:b/>
                <w:sz w:val="20"/>
                <w:szCs w:val="20"/>
              </w:rPr>
              <w:t>Non-Traction</w:t>
            </w:r>
          </w:p>
        </w:tc>
        <w:tc>
          <w:tcPr>
            <w:tcW w:w="955" w:type="dxa"/>
            <w:noWrap/>
            <w:hideMark/>
          </w:tcPr>
          <w:p w:rsidR="00752EFE" w:rsidRPr="00752EFE" w:rsidRDefault="00752EFE" w:rsidP="00752EFE">
            <w:pPr>
              <w:rPr>
                <w:b/>
                <w:sz w:val="20"/>
                <w:szCs w:val="20"/>
              </w:rPr>
            </w:pPr>
            <w:r w:rsidRPr="00752EFE">
              <w:rPr>
                <w:b/>
                <w:sz w:val="20"/>
                <w:szCs w:val="20"/>
              </w:rPr>
              <w:t>Traction</w:t>
            </w:r>
          </w:p>
        </w:tc>
      </w:tr>
      <w:tr w:rsidR="00752EFE" w:rsidRPr="00752EFE" w:rsidTr="00215690">
        <w:trPr>
          <w:trHeight w:val="510"/>
        </w:trPr>
        <w:tc>
          <w:tcPr>
            <w:tcW w:w="2354" w:type="dxa"/>
            <w:noWrap/>
            <w:vAlign w:val="center"/>
            <w:hideMark/>
          </w:tcPr>
          <w:p w:rsidR="00752EFE" w:rsidRPr="00752EFE" w:rsidRDefault="00752EFE" w:rsidP="00752EFE">
            <w:pPr>
              <w:rPr>
                <w:sz w:val="20"/>
                <w:szCs w:val="20"/>
              </w:rPr>
            </w:pPr>
            <w:r w:rsidRPr="00752EFE">
              <w:rPr>
                <w:sz w:val="20"/>
                <w:szCs w:val="20"/>
              </w:rPr>
              <w:t>Total 17-18 Rate p/kWh</w:t>
            </w:r>
          </w:p>
        </w:tc>
        <w:tc>
          <w:tcPr>
            <w:tcW w:w="1276" w:type="dxa"/>
            <w:noWrap/>
            <w:vAlign w:val="center"/>
            <w:hideMark/>
          </w:tcPr>
          <w:p w:rsidR="00752EFE" w:rsidRPr="00752EFE" w:rsidRDefault="00752EFE" w:rsidP="00752EFE">
            <w:pPr>
              <w:jc w:val="right"/>
              <w:rPr>
                <w:sz w:val="20"/>
                <w:szCs w:val="20"/>
              </w:rPr>
            </w:pPr>
            <w:r w:rsidRPr="00752EFE">
              <w:rPr>
                <w:sz w:val="20"/>
                <w:szCs w:val="20"/>
              </w:rPr>
              <w:t> </w:t>
            </w:r>
          </w:p>
        </w:tc>
        <w:tc>
          <w:tcPr>
            <w:tcW w:w="3391" w:type="dxa"/>
            <w:noWrap/>
            <w:vAlign w:val="center"/>
            <w:hideMark/>
          </w:tcPr>
          <w:p w:rsidR="00752EFE" w:rsidRPr="00752EFE" w:rsidRDefault="00752EFE" w:rsidP="00752EFE">
            <w:pPr>
              <w:jc w:val="right"/>
              <w:rPr>
                <w:sz w:val="20"/>
                <w:szCs w:val="20"/>
              </w:rPr>
            </w:pPr>
          </w:p>
        </w:tc>
        <w:tc>
          <w:tcPr>
            <w:tcW w:w="955" w:type="dxa"/>
            <w:noWrap/>
            <w:vAlign w:val="center"/>
            <w:hideMark/>
          </w:tcPr>
          <w:p w:rsidR="00752EFE" w:rsidRPr="00752EFE" w:rsidRDefault="00752EFE" w:rsidP="00752EFE">
            <w:pPr>
              <w:jc w:val="right"/>
              <w:rPr>
                <w:rFonts w:ascii="Calibri" w:hAnsi="Calibri"/>
                <w:color w:val="000000"/>
                <w:sz w:val="20"/>
                <w:szCs w:val="20"/>
              </w:rPr>
            </w:pPr>
            <w:r w:rsidRPr="00752EFE">
              <w:rPr>
                <w:rFonts w:ascii="Calibri" w:hAnsi="Calibri"/>
                <w:color w:val="000000"/>
                <w:sz w:val="20"/>
                <w:szCs w:val="20"/>
              </w:rPr>
              <w:t>12.577</w:t>
            </w:r>
          </w:p>
        </w:tc>
        <w:tc>
          <w:tcPr>
            <w:tcW w:w="955" w:type="dxa"/>
            <w:noWrap/>
            <w:vAlign w:val="center"/>
            <w:hideMark/>
          </w:tcPr>
          <w:p w:rsidR="00752EFE" w:rsidRPr="00752EFE" w:rsidRDefault="00752EFE" w:rsidP="00752EFE">
            <w:pPr>
              <w:jc w:val="right"/>
              <w:rPr>
                <w:sz w:val="20"/>
                <w:szCs w:val="20"/>
              </w:rPr>
            </w:pPr>
            <w:r w:rsidRPr="00752EFE">
              <w:rPr>
                <w:sz w:val="20"/>
                <w:szCs w:val="20"/>
              </w:rPr>
              <w:t>9.798</w:t>
            </w:r>
          </w:p>
        </w:tc>
      </w:tr>
      <w:tr w:rsidR="00752EFE" w:rsidRPr="00752EFE" w:rsidTr="00215690">
        <w:trPr>
          <w:trHeight w:val="300"/>
        </w:trPr>
        <w:tc>
          <w:tcPr>
            <w:tcW w:w="2354" w:type="dxa"/>
            <w:noWrap/>
            <w:hideMark/>
          </w:tcPr>
          <w:p w:rsidR="00752EFE" w:rsidRPr="00752EFE" w:rsidRDefault="00752EFE" w:rsidP="00752EFE">
            <w:pPr>
              <w:rPr>
                <w:sz w:val="20"/>
                <w:szCs w:val="20"/>
              </w:rPr>
            </w:pPr>
            <w:r w:rsidRPr="00752EFE">
              <w:rPr>
                <w:sz w:val="20"/>
                <w:szCs w:val="20"/>
              </w:rPr>
              <w:t xml:space="preserve">Commodity </w:t>
            </w:r>
          </w:p>
        </w:tc>
        <w:tc>
          <w:tcPr>
            <w:tcW w:w="1276" w:type="dxa"/>
            <w:noWrap/>
            <w:hideMark/>
          </w:tcPr>
          <w:p w:rsidR="00752EFE" w:rsidRPr="00752EFE" w:rsidRDefault="00752EFE" w:rsidP="00752EFE">
            <w:pPr>
              <w:rPr>
                <w:sz w:val="20"/>
                <w:szCs w:val="20"/>
              </w:rPr>
            </w:pPr>
            <w:r w:rsidRPr="00752EFE">
              <w:rPr>
                <w:sz w:val="20"/>
                <w:szCs w:val="20"/>
              </w:rPr>
              <w:t> TOCs</w:t>
            </w:r>
          </w:p>
        </w:tc>
        <w:tc>
          <w:tcPr>
            <w:tcW w:w="3391" w:type="dxa"/>
            <w:noWrap/>
            <w:hideMark/>
          </w:tcPr>
          <w:p w:rsidR="00752EFE" w:rsidRPr="00752EFE" w:rsidRDefault="00752EFE" w:rsidP="00752EFE">
            <w:pPr>
              <w:rPr>
                <w:sz w:val="20"/>
                <w:szCs w:val="20"/>
              </w:rPr>
            </w:pPr>
            <w:r w:rsidRPr="00752EFE">
              <w:rPr>
                <w:sz w:val="20"/>
                <w:szCs w:val="20"/>
              </w:rPr>
              <w:t>Market Pricing</w:t>
            </w:r>
          </w:p>
        </w:tc>
        <w:tc>
          <w:tcPr>
            <w:tcW w:w="955" w:type="dxa"/>
            <w:noWrap/>
            <w:hideMark/>
          </w:tcPr>
          <w:p w:rsidR="00752EFE" w:rsidRPr="00752EFE" w:rsidRDefault="00752EFE" w:rsidP="00752EFE">
            <w:pPr>
              <w:jc w:val="right"/>
              <w:rPr>
                <w:sz w:val="20"/>
                <w:szCs w:val="20"/>
              </w:rPr>
            </w:pPr>
            <w:r w:rsidRPr="00752EFE">
              <w:rPr>
                <w:sz w:val="20"/>
                <w:szCs w:val="20"/>
              </w:rPr>
              <w:t>37.5%</w:t>
            </w:r>
          </w:p>
        </w:tc>
        <w:tc>
          <w:tcPr>
            <w:tcW w:w="955" w:type="dxa"/>
            <w:noWrap/>
            <w:hideMark/>
          </w:tcPr>
          <w:p w:rsidR="00752EFE" w:rsidRPr="00752EFE" w:rsidRDefault="00752EFE" w:rsidP="00752EFE">
            <w:pPr>
              <w:jc w:val="right"/>
              <w:rPr>
                <w:sz w:val="20"/>
                <w:szCs w:val="20"/>
              </w:rPr>
            </w:pPr>
            <w:r w:rsidRPr="00752EFE">
              <w:rPr>
                <w:sz w:val="20"/>
                <w:szCs w:val="20"/>
              </w:rPr>
              <w:t>46.9%</w:t>
            </w:r>
          </w:p>
        </w:tc>
      </w:tr>
      <w:tr w:rsidR="00752EFE" w:rsidRPr="00752EFE" w:rsidTr="00215690">
        <w:trPr>
          <w:trHeight w:val="300"/>
        </w:trPr>
        <w:tc>
          <w:tcPr>
            <w:tcW w:w="2354" w:type="dxa"/>
            <w:noWrap/>
            <w:hideMark/>
          </w:tcPr>
          <w:p w:rsidR="00752EFE" w:rsidRPr="00752EFE" w:rsidRDefault="00752EFE" w:rsidP="00752EFE">
            <w:pPr>
              <w:rPr>
                <w:sz w:val="20"/>
                <w:szCs w:val="20"/>
              </w:rPr>
            </w:pPr>
            <w:r w:rsidRPr="00752EFE">
              <w:rPr>
                <w:sz w:val="20"/>
                <w:szCs w:val="20"/>
              </w:rPr>
              <w:t>Residual</w:t>
            </w:r>
          </w:p>
        </w:tc>
        <w:tc>
          <w:tcPr>
            <w:tcW w:w="1276" w:type="dxa"/>
            <w:noWrap/>
            <w:hideMark/>
          </w:tcPr>
          <w:p w:rsidR="00752EFE" w:rsidRPr="00752EFE" w:rsidRDefault="00752EFE" w:rsidP="00752EFE">
            <w:pPr>
              <w:rPr>
                <w:sz w:val="20"/>
                <w:szCs w:val="20"/>
              </w:rPr>
            </w:pPr>
            <w:r w:rsidRPr="00752EFE">
              <w:rPr>
                <w:sz w:val="20"/>
                <w:szCs w:val="20"/>
              </w:rPr>
              <w:t>EDF / NR</w:t>
            </w:r>
          </w:p>
        </w:tc>
        <w:tc>
          <w:tcPr>
            <w:tcW w:w="3391" w:type="dxa"/>
            <w:noWrap/>
            <w:hideMark/>
          </w:tcPr>
          <w:p w:rsidR="00752EFE" w:rsidRPr="00752EFE" w:rsidRDefault="00752EFE" w:rsidP="00752EFE">
            <w:pPr>
              <w:rPr>
                <w:sz w:val="20"/>
                <w:szCs w:val="20"/>
              </w:rPr>
            </w:pPr>
            <w:r w:rsidRPr="00752EFE">
              <w:rPr>
                <w:sz w:val="20"/>
                <w:szCs w:val="20"/>
              </w:rPr>
              <w:t xml:space="preserve">Additional cost of providing non baseload (24hrs </w:t>
            </w:r>
            <w:proofErr w:type="spellStart"/>
            <w:r w:rsidRPr="00752EFE">
              <w:rPr>
                <w:sz w:val="20"/>
                <w:szCs w:val="20"/>
              </w:rPr>
              <w:t>const</w:t>
            </w:r>
            <w:proofErr w:type="spellEnd"/>
            <w:r w:rsidRPr="00752EFE">
              <w:rPr>
                <w:sz w:val="20"/>
                <w:szCs w:val="20"/>
              </w:rPr>
              <w:t xml:space="preserve"> power) energy</w:t>
            </w:r>
          </w:p>
        </w:tc>
        <w:tc>
          <w:tcPr>
            <w:tcW w:w="955" w:type="dxa"/>
            <w:noWrap/>
            <w:hideMark/>
          </w:tcPr>
          <w:p w:rsidR="00752EFE" w:rsidRPr="00752EFE" w:rsidRDefault="00752EFE" w:rsidP="00752EFE">
            <w:pPr>
              <w:jc w:val="right"/>
              <w:rPr>
                <w:sz w:val="20"/>
                <w:szCs w:val="20"/>
              </w:rPr>
            </w:pPr>
            <w:r w:rsidRPr="00752EFE">
              <w:rPr>
                <w:sz w:val="20"/>
                <w:szCs w:val="20"/>
              </w:rPr>
              <w:t>1.7%</w:t>
            </w:r>
          </w:p>
        </w:tc>
        <w:tc>
          <w:tcPr>
            <w:tcW w:w="955" w:type="dxa"/>
            <w:noWrap/>
            <w:hideMark/>
          </w:tcPr>
          <w:p w:rsidR="00752EFE" w:rsidRPr="00752EFE" w:rsidRDefault="00752EFE" w:rsidP="00752EFE">
            <w:pPr>
              <w:jc w:val="right"/>
              <w:rPr>
                <w:sz w:val="20"/>
                <w:szCs w:val="20"/>
              </w:rPr>
            </w:pPr>
            <w:r w:rsidRPr="00752EFE">
              <w:rPr>
                <w:sz w:val="20"/>
                <w:szCs w:val="20"/>
              </w:rPr>
              <w:t>3.3%</w:t>
            </w:r>
          </w:p>
        </w:tc>
      </w:tr>
      <w:tr w:rsidR="00752EFE" w:rsidRPr="00752EFE" w:rsidTr="00215690">
        <w:trPr>
          <w:trHeight w:val="300"/>
        </w:trPr>
        <w:tc>
          <w:tcPr>
            <w:tcW w:w="2354" w:type="dxa"/>
            <w:noWrap/>
            <w:hideMark/>
          </w:tcPr>
          <w:p w:rsidR="00752EFE" w:rsidRPr="00752EFE" w:rsidRDefault="00752EFE" w:rsidP="00752EFE">
            <w:pPr>
              <w:rPr>
                <w:sz w:val="20"/>
                <w:szCs w:val="20"/>
              </w:rPr>
            </w:pPr>
            <w:r w:rsidRPr="00752EFE">
              <w:rPr>
                <w:sz w:val="20"/>
                <w:szCs w:val="20"/>
              </w:rPr>
              <w:t>Supplier Margin / Admin</w:t>
            </w:r>
          </w:p>
        </w:tc>
        <w:tc>
          <w:tcPr>
            <w:tcW w:w="1276" w:type="dxa"/>
            <w:noWrap/>
            <w:hideMark/>
          </w:tcPr>
          <w:p w:rsidR="00752EFE" w:rsidRPr="00752EFE" w:rsidRDefault="00752EFE" w:rsidP="00752EFE">
            <w:pPr>
              <w:rPr>
                <w:sz w:val="20"/>
                <w:szCs w:val="20"/>
              </w:rPr>
            </w:pPr>
            <w:r w:rsidRPr="00752EFE">
              <w:rPr>
                <w:sz w:val="20"/>
                <w:szCs w:val="20"/>
              </w:rPr>
              <w:t>EDF</w:t>
            </w:r>
          </w:p>
        </w:tc>
        <w:tc>
          <w:tcPr>
            <w:tcW w:w="3391" w:type="dxa"/>
            <w:noWrap/>
            <w:hideMark/>
          </w:tcPr>
          <w:p w:rsidR="00752EFE" w:rsidRPr="00752EFE" w:rsidRDefault="00752EFE" w:rsidP="00752EFE">
            <w:pPr>
              <w:rPr>
                <w:sz w:val="20"/>
                <w:szCs w:val="20"/>
              </w:rPr>
            </w:pPr>
            <w:r w:rsidRPr="00752EFE">
              <w:rPr>
                <w:sz w:val="20"/>
                <w:szCs w:val="20"/>
              </w:rPr>
              <w:t>Supplier's costs and profit</w:t>
            </w:r>
          </w:p>
        </w:tc>
        <w:tc>
          <w:tcPr>
            <w:tcW w:w="955" w:type="dxa"/>
            <w:noWrap/>
            <w:hideMark/>
          </w:tcPr>
          <w:p w:rsidR="00752EFE" w:rsidRPr="00752EFE" w:rsidRDefault="00752EFE" w:rsidP="00752EFE">
            <w:pPr>
              <w:jc w:val="right"/>
              <w:rPr>
                <w:sz w:val="20"/>
                <w:szCs w:val="20"/>
              </w:rPr>
            </w:pPr>
            <w:r w:rsidRPr="00752EFE">
              <w:rPr>
                <w:sz w:val="20"/>
                <w:szCs w:val="20"/>
              </w:rPr>
              <w:t>0.6%</w:t>
            </w:r>
          </w:p>
        </w:tc>
        <w:tc>
          <w:tcPr>
            <w:tcW w:w="955" w:type="dxa"/>
            <w:noWrap/>
            <w:hideMark/>
          </w:tcPr>
          <w:p w:rsidR="00752EFE" w:rsidRPr="00752EFE" w:rsidRDefault="00752EFE" w:rsidP="00752EFE">
            <w:pPr>
              <w:jc w:val="right"/>
              <w:rPr>
                <w:sz w:val="20"/>
                <w:szCs w:val="20"/>
              </w:rPr>
            </w:pPr>
            <w:r w:rsidRPr="00752EFE">
              <w:rPr>
                <w:sz w:val="20"/>
                <w:szCs w:val="20"/>
              </w:rPr>
              <w:t>0.4%</w:t>
            </w:r>
          </w:p>
        </w:tc>
      </w:tr>
      <w:tr w:rsidR="00752EFE" w:rsidRPr="00752EFE" w:rsidTr="00215690">
        <w:trPr>
          <w:trHeight w:val="300"/>
        </w:trPr>
        <w:tc>
          <w:tcPr>
            <w:tcW w:w="2354" w:type="dxa"/>
            <w:noWrap/>
            <w:hideMark/>
          </w:tcPr>
          <w:p w:rsidR="00752EFE" w:rsidRPr="00752EFE" w:rsidRDefault="00752EFE" w:rsidP="00752EFE">
            <w:pPr>
              <w:rPr>
                <w:sz w:val="20"/>
                <w:szCs w:val="20"/>
              </w:rPr>
            </w:pPr>
            <w:r w:rsidRPr="00752EFE">
              <w:rPr>
                <w:sz w:val="20"/>
                <w:szCs w:val="20"/>
              </w:rPr>
              <w:t>Balancing Services Use of System</w:t>
            </w:r>
          </w:p>
        </w:tc>
        <w:tc>
          <w:tcPr>
            <w:tcW w:w="1276" w:type="dxa"/>
            <w:noWrap/>
            <w:hideMark/>
          </w:tcPr>
          <w:p w:rsidR="00752EFE" w:rsidRPr="00752EFE" w:rsidRDefault="00752EFE" w:rsidP="00752EFE">
            <w:pPr>
              <w:rPr>
                <w:sz w:val="20"/>
                <w:szCs w:val="20"/>
              </w:rPr>
            </w:pPr>
            <w:r w:rsidRPr="00752EFE">
              <w:rPr>
                <w:sz w:val="20"/>
                <w:szCs w:val="20"/>
              </w:rPr>
              <w:t>National Grid</w:t>
            </w:r>
          </w:p>
        </w:tc>
        <w:tc>
          <w:tcPr>
            <w:tcW w:w="3391" w:type="dxa"/>
            <w:noWrap/>
            <w:hideMark/>
          </w:tcPr>
          <w:p w:rsidR="00752EFE" w:rsidRPr="00752EFE" w:rsidRDefault="00752EFE" w:rsidP="00752EFE">
            <w:pPr>
              <w:rPr>
                <w:sz w:val="20"/>
                <w:szCs w:val="20"/>
              </w:rPr>
            </w:pPr>
            <w:r w:rsidRPr="00752EFE">
              <w:rPr>
                <w:sz w:val="20"/>
                <w:szCs w:val="20"/>
              </w:rPr>
              <w:t>Cost of National Grid balancing the system in real time</w:t>
            </w:r>
          </w:p>
        </w:tc>
        <w:tc>
          <w:tcPr>
            <w:tcW w:w="955" w:type="dxa"/>
            <w:noWrap/>
            <w:hideMark/>
          </w:tcPr>
          <w:p w:rsidR="00752EFE" w:rsidRPr="00752EFE" w:rsidRDefault="00752EFE" w:rsidP="00752EFE">
            <w:pPr>
              <w:jc w:val="right"/>
              <w:rPr>
                <w:sz w:val="20"/>
                <w:szCs w:val="20"/>
              </w:rPr>
            </w:pPr>
            <w:r w:rsidRPr="00752EFE">
              <w:rPr>
                <w:sz w:val="20"/>
                <w:szCs w:val="20"/>
              </w:rPr>
              <w:t>2.6%</w:t>
            </w:r>
          </w:p>
        </w:tc>
        <w:tc>
          <w:tcPr>
            <w:tcW w:w="955" w:type="dxa"/>
            <w:noWrap/>
            <w:hideMark/>
          </w:tcPr>
          <w:p w:rsidR="00752EFE" w:rsidRPr="00752EFE" w:rsidRDefault="00752EFE" w:rsidP="00752EFE">
            <w:pPr>
              <w:jc w:val="right"/>
              <w:rPr>
                <w:sz w:val="20"/>
                <w:szCs w:val="20"/>
              </w:rPr>
            </w:pPr>
            <w:r w:rsidRPr="00752EFE">
              <w:rPr>
                <w:sz w:val="20"/>
                <w:szCs w:val="20"/>
              </w:rPr>
              <w:t>2.8%</w:t>
            </w:r>
          </w:p>
        </w:tc>
      </w:tr>
      <w:tr w:rsidR="00752EFE" w:rsidRPr="00752EFE" w:rsidTr="00215690">
        <w:trPr>
          <w:trHeight w:val="300"/>
        </w:trPr>
        <w:tc>
          <w:tcPr>
            <w:tcW w:w="2354" w:type="dxa"/>
            <w:noWrap/>
            <w:hideMark/>
          </w:tcPr>
          <w:p w:rsidR="00752EFE" w:rsidRPr="00752EFE" w:rsidRDefault="00752EFE" w:rsidP="00752EFE">
            <w:pPr>
              <w:rPr>
                <w:sz w:val="20"/>
                <w:szCs w:val="20"/>
              </w:rPr>
            </w:pPr>
            <w:r w:rsidRPr="00752EFE">
              <w:rPr>
                <w:sz w:val="20"/>
                <w:szCs w:val="20"/>
              </w:rPr>
              <w:t>Market Participation</w:t>
            </w:r>
          </w:p>
        </w:tc>
        <w:tc>
          <w:tcPr>
            <w:tcW w:w="1276" w:type="dxa"/>
            <w:noWrap/>
            <w:hideMark/>
          </w:tcPr>
          <w:p w:rsidR="00752EFE" w:rsidRPr="00752EFE" w:rsidRDefault="00752EFE" w:rsidP="00752EFE">
            <w:pPr>
              <w:rPr>
                <w:sz w:val="20"/>
                <w:szCs w:val="20"/>
              </w:rPr>
            </w:pPr>
            <w:proofErr w:type="spellStart"/>
            <w:r w:rsidRPr="00752EFE">
              <w:rPr>
                <w:sz w:val="20"/>
                <w:szCs w:val="20"/>
              </w:rPr>
              <w:t>Elexon</w:t>
            </w:r>
            <w:proofErr w:type="spellEnd"/>
          </w:p>
        </w:tc>
        <w:tc>
          <w:tcPr>
            <w:tcW w:w="3391" w:type="dxa"/>
            <w:noWrap/>
            <w:hideMark/>
          </w:tcPr>
          <w:p w:rsidR="00752EFE" w:rsidRPr="00752EFE" w:rsidRDefault="00752EFE" w:rsidP="00752EFE">
            <w:pPr>
              <w:rPr>
                <w:sz w:val="20"/>
                <w:szCs w:val="20"/>
              </w:rPr>
            </w:pPr>
            <w:r w:rsidRPr="00752EFE">
              <w:rPr>
                <w:sz w:val="20"/>
                <w:szCs w:val="20"/>
              </w:rPr>
              <w:t xml:space="preserve">Cost of </w:t>
            </w:r>
            <w:proofErr w:type="spellStart"/>
            <w:r w:rsidRPr="00752EFE">
              <w:rPr>
                <w:sz w:val="20"/>
                <w:szCs w:val="20"/>
              </w:rPr>
              <w:t>Elexon</w:t>
            </w:r>
            <w:proofErr w:type="spellEnd"/>
            <w:r w:rsidRPr="00752EFE">
              <w:rPr>
                <w:sz w:val="20"/>
                <w:szCs w:val="20"/>
              </w:rPr>
              <w:t xml:space="preserve"> administering trades</w:t>
            </w:r>
          </w:p>
        </w:tc>
        <w:tc>
          <w:tcPr>
            <w:tcW w:w="955" w:type="dxa"/>
            <w:noWrap/>
            <w:hideMark/>
          </w:tcPr>
          <w:p w:rsidR="00752EFE" w:rsidRPr="00752EFE" w:rsidRDefault="00752EFE" w:rsidP="00752EFE">
            <w:pPr>
              <w:jc w:val="right"/>
              <w:rPr>
                <w:sz w:val="20"/>
                <w:szCs w:val="20"/>
              </w:rPr>
            </w:pPr>
            <w:r w:rsidRPr="00752EFE">
              <w:rPr>
                <w:sz w:val="20"/>
                <w:szCs w:val="20"/>
              </w:rPr>
              <w:t>0.1%</w:t>
            </w:r>
          </w:p>
        </w:tc>
        <w:tc>
          <w:tcPr>
            <w:tcW w:w="955" w:type="dxa"/>
            <w:noWrap/>
            <w:hideMark/>
          </w:tcPr>
          <w:p w:rsidR="00752EFE" w:rsidRPr="00752EFE" w:rsidRDefault="00752EFE" w:rsidP="00752EFE">
            <w:pPr>
              <w:jc w:val="right"/>
              <w:rPr>
                <w:sz w:val="20"/>
                <w:szCs w:val="20"/>
              </w:rPr>
            </w:pPr>
            <w:r w:rsidRPr="00752EFE">
              <w:rPr>
                <w:sz w:val="20"/>
                <w:szCs w:val="20"/>
              </w:rPr>
              <w:t>0.2%</w:t>
            </w:r>
          </w:p>
        </w:tc>
      </w:tr>
      <w:tr w:rsidR="00752EFE" w:rsidRPr="00752EFE" w:rsidTr="00215690">
        <w:trPr>
          <w:trHeight w:val="300"/>
        </w:trPr>
        <w:tc>
          <w:tcPr>
            <w:tcW w:w="2354" w:type="dxa"/>
            <w:noWrap/>
            <w:hideMark/>
          </w:tcPr>
          <w:p w:rsidR="00752EFE" w:rsidRPr="00752EFE" w:rsidRDefault="00752EFE" w:rsidP="00752EFE">
            <w:pPr>
              <w:rPr>
                <w:sz w:val="20"/>
                <w:szCs w:val="20"/>
              </w:rPr>
            </w:pPr>
            <w:r w:rsidRPr="00752EFE">
              <w:rPr>
                <w:sz w:val="20"/>
                <w:szCs w:val="20"/>
              </w:rPr>
              <w:t>Imbalance</w:t>
            </w:r>
          </w:p>
        </w:tc>
        <w:tc>
          <w:tcPr>
            <w:tcW w:w="1276" w:type="dxa"/>
            <w:noWrap/>
            <w:hideMark/>
          </w:tcPr>
          <w:p w:rsidR="00752EFE" w:rsidRPr="00752EFE" w:rsidRDefault="00752EFE" w:rsidP="00752EFE">
            <w:pPr>
              <w:rPr>
                <w:sz w:val="20"/>
                <w:szCs w:val="20"/>
              </w:rPr>
            </w:pPr>
            <w:r w:rsidRPr="00752EFE">
              <w:rPr>
                <w:sz w:val="20"/>
                <w:szCs w:val="20"/>
              </w:rPr>
              <w:t>EDF</w:t>
            </w:r>
          </w:p>
        </w:tc>
        <w:tc>
          <w:tcPr>
            <w:tcW w:w="3391" w:type="dxa"/>
            <w:noWrap/>
            <w:hideMark/>
          </w:tcPr>
          <w:p w:rsidR="00752EFE" w:rsidRPr="00752EFE" w:rsidRDefault="00752EFE" w:rsidP="00752EFE">
            <w:pPr>
              <w:rPr>
                <w:sz w:val="20"/>
                <w:szCs w:val="20"/>
              </w:rPr>
            </w:pPr>
            <w:r w:rsidRPr="00752EFE">
              <w:rPr>
                <w:sz w:val="20"/>
                <w:szCs w:val="20"/>
              </w:rPr>
              <w:t>EDF's view of the risk of NR not consuming when we forecast we will</w:t>
            </w:r>
          </w:p>
        </w:tc>
        <w:tc>
          <w:tcPr>
            <w:tcW w:w="955" w:type="dxa"/>
            <w:noWrap/>
            <w:hideMark/>
          </w:tcPr>
          <w:p w:rsidR="00752EFE" w:rsidRPr="00752EFE" w:rsidRDefault="00752EFE" w:rsidP="00752EFE">
            <w:pPr>
              <w:jc w:val="right"/>
              <w:rPr>
                <w:sz w:val="20"/>
                <w:szCs w:val="20"/>
              </w:rPr>
            </w:pPr>
            <w:r w:rsidRPr="00752EFE">
              <w:rPr>
                <w:sz w:val="20"/>
                <w:szCs w:val="20"/>
              </w:rPr>
              <w:t>0.2%</w:t>
            </w:r>
          </w:p>
        </w:tc>
        <w:tc>
          <w:tcPr>
            <w:tcW w:w="955" w:type="dxa"/>
            <w:noWrap/>
            <w:hideMark/>
          </w:tcPr>
          <w:p w:rsidR="00752EFE" w:rsidRPr="00752EFE" w:rsidRDefault="00752EFE" w:rsidP="00752EFE">
            <w:pPr>
              <w:jc w:val="right"/>
              <w:rPr>
                <w:sz w:val="20"/>
                <w:szCs w:val="20"/>
              </w:rPr>
            </w:pPr>
            <w:r w:rsidRPr="00752EFE">
              <w:rPr>
                <w:sz w:val="20"/>
                <w:szCs w:val="20"/>
              </w:rPr>
              <w:t>0.1%</w:t>
            </w:r>
          </w:p>
        </w:tc>
      </w:tr>
      <w:tr w:rsidR="00752EFE" w:rsidRPr="00752EFE" w:rsidTr="00215690">
        <w:trPr>
          <w:trHeight w:val="300"/>
        </w:trPr>
        <w:tc>
          <w:tcPr>
            <w:tcW w:w="2354" w:type="dxa"/>
            <w:noWrap/>
            <w:hideMark/>
          </w:tcPr>
          <w:p w:rsidR="00752EFE" w:rsidRPr="00752EFE" w:rsidRDefault="00752EFE" w:rsidP="00752EFE">
            <w:pPr>
              <w:rPr>
                <w:sz w:val="20"/>
                <w:szCs w:val="20"/>
              </w:rPr>
            </w:pPr>
            <w:r w:rsidRPr="00752EFE">
              <w:rPr>
                <w:sz w:val="20"/>
                <w:szCs w:val="20"/>
              </w:rPr>
              <w:t>Renewables Obligation</w:t>
            </w:r>
          </w:p>
        </w:tc>
        <w:tc>
          <w:tcPr>
            <w:tcW w:w="1276" w:type="dxa"/>
            <w:noWrap/>
            <w:hideMark/>
          </w:tcPr>
          <w:p w:rsidR="00752EFE" w:rsidRPr="00752EFE" w:rsidRDefault="00752EFE" w:rsidP="00752EFE">
            <w:pPr>
              <w:rPr>
                <w:sz w:val="20"/>
                <w:szCs w:val="20"/>
              </w:rPr>
            </w:pPr>
            <w:r w:rsidRPr="00752EFE">
              <w:rPr>
                <w:sz w:val="20"/>
                <w:szCs w:val="20"/>
              </w:rPr>
              <w:t>BEIS</w:t>
            </w:r>
          </w:p>
        </w:tc>
        <w:tc>
          <w:tcPr>
            <w:tcW w:w="3391" w:type="dxa"/>
            <w:noWrap/>
            <w:hideMark/>
          </w:tcPr>
          <w:p w:rsidR="00752EFE" w:rsidRPr="00752EFE" w:rsidRDefault="00752EFE" w:rsidP="00752EFE">
            <w:pPr>
              <w:rPr>
                <w:sz w:val="20"/>
                <w:szCs w:val="20"/>
              </w:rPr>
            </w:pPr>
            <w:r w:rsidRPr="00752EFE">
              <w:rPr>
                <w:sz w:val="20"/>
                <w:szCs w:val="20"/>
              </w:rPr>
              <w:t>Support for Renewables</w:t>
            </w:r>
          </w:p>
        </w:tc>
        <w:tc>
          <w:tcPr>
            <w:tcW w:w="955" w:type="dxa"/>
            <w:noWrap/>
            <w:hideMark/>
          </w:tcPr>
          <w:p w:rsidR="00752EFE" w:rsidRPr="00752EFE" w:rsidRDefault="00752EFE" w:rsidP="00752EFE">
            <w:pPr>
              <w:jc w:val="right"/>
              <w:rPr>
                <w:sz w:val="20"/>
                <w:szCs w:val="20"/>
              </w:rPr>
            </w:pPr>
            <w:r w:rsidRPr="00752EFE">
              <w:rPr>
                <w:sz w:val="20"/>
                <w:szCs w:val="20"/>
              </w:rPr>
              <w:t>15.0%</w:t>
            </w:r>
          </w:p>
        </w:tc>
        <w:tc>
          <w:tcPr>
            <w:tcW w:w="955" w:type="dxa"/>
            <w:noWrap/>
            <w:hideMark/>
          </w:tcPr>
          <w:p w:rsidR="00752EFE" w:rsidRPr="00752EFE" w:rsidRDefault="00752EFE" w:rsidP="00752EFE">
            <w:pPr>
              <w:jc w:val="right"/>
              <w:rPr>
                <w:sz w:val="20"/>
                <w:szCs w:val="20"/>
              </w:rPr>
            </w:pPr>
            <w:r w:rsidRPr="00752EFE">
              <w:rPr>
                <w:sz w:val="20"/>
                <w:szCs w:val="20"/>
              </w:rPr>
              <w:t>19.2%</w:t>
            </w:r>
          </w:p>
        </w:tc>
      </w:tr>
      <w:tr w:rsidR="00752EFE" w:rsidRPr="00752EFE" w:rsidTr="00215690">
        <w:trPr>
          <w:trHeight w:val="300"/>
        </w:trPr>
        <w:tc>
          <w:tcPr>
            <w:tcW w:w="2354" w:type="dxa"/>
            <w:noWrap/>
            <w:hideMark/>
          </w:tcPr>
          <w:p w:rsidR="00752EFE" w:rsidRPr="00752EFE" w:rsidRDefault="00752EFE" w:rsidP="00752EFE">
            <w:pPr>
              <w:rPr>
                <w:sz w:val="20"/>
                <w:szCs w:val="20"/>
              </w:rPr>
            </w:pPr>
            <w:r w:rsidRPr="00752EFE">
              <w:rPr>
                <w:sz w:val="20"/>
                <w:szCs w:val="20"/>
              </w:rPr>
              <w:t xml:space="preserve">Contracts For Differences </w:t>
            </w:r>
            <w:proofErr w:type="spellStart"/>
            <w:r w:rsidRPr="00752EFE">
              <w:rPr>
                <w:sz w:val="20"/>
                <w:szCs w:val="20"/>
              </w:rPr>
              <w:t>CfDs</w:t>
            </w:r>
            <w:proofErr w:type="spellEnd"/>
          </w:p>
        </w:tc>
        <w:tc>
          <w:tcPr>
            <w:tcW w:w="1276" w:type="dxa"/>
            <w:noWrap/>
            <w:hideMark/>
          </w:tcPr>
          <w:p w:rsidR="00752EFE" w:rsidRPr="00752EFE" w:rsidRDefault="00752EFE" w:rsidP="00752EFE">
            <w:pPr>
              <w:rPr>
                <w:sz w:val="20"/>
                <w:szCs w:val="20"/>
              </w:rPr>
            </w:pPr>
            <w:r w:rsidRPr="00752EFE">
              <w:rPr>
                <w:sz w:val="20"/>
                <w:szCs w:val="20"/>
              </w:rPr>
              <w:t>BEIS</w:t>
            </w:r>
          </w:p>
        </w:tc>
        <w:tc>
          <w:tcPr>
            <w:tcW w:w="3391" w:type="dxa"/>
            <w:noWrap/>
            <w:hideMark/>
          </w:tcPr>
          <w:p w:rsidR="00752EFE" w:rsidRPr="00752EFE" w:rsidRDefault="00752EFE" w:rsidP="00752EFE">
            <w:pPr>
              <w:rPr>
                <w:sz w:val="20"/>
                <w:szCs w:val="20"/>
              </w:rPr>
            </w:pPr>
            <w:r w:rsidRPr="00752EFE">
              <w:rPr>
                <w:sz w:val="20"/>
                <w:szCs w:val="20"/>
              </w:rPr>
              <w:t>Cost of Renewables Obligation replacement scheme</w:t>
            </w:r>
          </w:p>
        </w:tc>
        <w:tc>
          <w:tcPr>
            <w:tcW w:w="955" w:type="dxa"/>
            <w:noWrap/>
            <w:hideMark/>
          </w:tcPr>
          <w:p w:rsidR="00752EFE" w:rsidRPr="00752EFE" w:rsidRDefault="00752EFE" w:rsidP="00752EFE">
            <w:pPr>
              <w:jc w:val="right"/>
              <w:rPr>
                <w:sz w:val="20"/>
                <w:szCs w:val="20"/>
              </w:rPr>
            </w:pPr>
            <w:r w:rsidRPr="00752EFE">
              <w:rPr>
                <w:sz w:val="20"/>
                <w:szCs w:val="20"/>
              </w:rPr>
              <w:t>3.0%</w:t>
            </w:r>
          </w:p>
        </w:tc>
        <w:tc>
          <w:tcPr>
            <w:tcW w:w="955" w:type="dxa"/>
            <w:noWrap/>
            <w:hideMark/>
          </w:tcPr>
          <w:p w:rsidR="00752EFE" w:rsidRPr="00752EFE" w:rsidRDefault="00752EFE" w:rsidP="00752EFE">
            <w:pPr>
              <w:jc w:val="right"/>
              <w:rPr>
                <w:sz w:val="20"/>
                <w:szCs w:val="20"/>
              </w:rPr>
            </w:pPr>
            <w:r w:rsidRPr="00752EFE">
              <w:rPr>
                <w:sz w:val="20"/>
                <w:szCs w:val="20"/>
              </w:rPr>
              <w:t>3.2%</w:t>
            </w:r>
          </w:p>
        </w:tc>
      </w:tr>
      <w:tr w:rsidR="00752EFE" w:rsidRPr="00752EFE" w:rsidTr="00215690">
        <w:trPr>
          <w:trHeight w:val="300"/>
        </w:trPr>
        <w:tc>
          <w:tcPr>
            <w:tcW w:w="2354" w:type="dxa"/>
            <w:noWrap/>
            <w:hideMark/>
          </w:tcPr>
          <w:p w:rsidR="00752EFE" w:rsidRPr="00752EFE" w:rsidRDefault="00752EFE" w:rsidP="00752EFE">
            <w:pPr>
              <w:rPr>
                <w:sz w:val="20"/>
                <w:szCs w:val="20"/>
              </w:rPr>
            </w:pPr>
            <w:r w:rsidRPr="00752EFE">
              <w:rPr>
                <w:sz w:val="20"/>
                <w:szCs w:val="20"/>
              </w:rPr>
              <w:t>Capacity Mechanism Admin</w:t>
            </w:r>
          </w:p>
        </w:tc>
        <w:tc>
          <w:tcPr>
            <w:tcW w:w="1276" w:type="dxa"/>
            <w:noWrap/>
            <w:hideMark/>
          </w:tcPr>
          <w:p w:rsidR="00752EFE" w:rsidRPr="00752EFE" w:rsidRDefault="00752EFE" w:rsidP="00752EFE">
            <w:pPr>
              <w:rPr>
                <w:sz w:val="20"/>
                <w:szCs w:val="20"/>
              </w:rPr>
            </w:pPr>
            <w:proofErr w:type="spellStart"/>
            <w:r w:rsidRPr="00752EFE">
              <w:rPr>
                <w:sz w:val="20"/>
                <w:szCs w:val="20"/>
              </w:rPr>
              <w:t>Elexon</w:t>
            </w:r>
            <w:proofErr w:type="spellEnd"/>
          </w:p>
        </w:tc>
        <w:tc>
          <w:tcPr>
            <w:tcW w:w="3391" w:type="dxa"/>
            <w:noWrap/>
            <w:hideMark/>
          </w:tcPr>
          <w:p w:rsidR="00752EFE" w:rsidRPr="00752EFE" w:rsidRDefault="00752EFE" w:rsidP="00752EFE">
            <w:pPr>
              <w:rPr>
                <w:sz w:val="20"/>
                <w:szCs w:val="20"/>
              </w:rPr>
            </w:pPr>
            <w:r w:rsidRPr="00752EFE">
              <w:rPr>
                <w:sz w:val="20"/>
                <w:szCs w:val="20"/>
              </w:rPr>
              <w:t>Cost of administering Capacity Market auctions</w:t>
            </w:r>
          </w:p>
        </w:tc>
        <w:tc>
          <w:tcPr>
            <w:tcW w:w="955" w:type="dxa"/>
            <w:noWrap/>
            <w:hideMark/>
          </w:tcPr>
          <w:p w:rsidR="00752EFE" w:rsidRPr="00752EFE" w:rsidRDefault="00752EFE" w:rsidP="00752EFE">
            <w:pPr>
              <w:jc w:val="right"/>
              <w:rPr>
                <w:sz w:val="20"/>
                <w:szCs w:val="20"/>
              </w:rPr>
            </w:pPr>
            <w:r w:rsidRPr="00752EFE">
              <w:rPr>
                <w:sz w:val="20"/>
                <w:szCs w:val="20"/>
              </w:rPr>
              <w:t>0.1%</w:t>
            </w:r>
          </w:p>
        </w:tc>
        <w:tc>
          <w:tcPr>
            <w:tcW w:w="955" w:type="dxa"/>
            <w:noWrap/>
            <w:hideMark/>
          </w:tcPr>
          <w:p w:rsidR="00752EFE" w:rsidRPr="00752EFE" w:rsidRDefault="00752EFE" w:rsidP="00752EFE">
            <w:pPr>
              <w:jc w:val="right"/>
              <w:rPr>
                <w:sz w:val="20"/>
                <w:szCs w:val="20"/>
              </w:rPr>
            </w:pPr>
            <w:r w:rsidRPr="00752EFE">
              <w:rPr>
                <w:sz w:val="20"/>
                <w:szCs w:val="20"/>
              </w:rPr>
              <w:t>0.2%</w:t>
            </w:r>
          </w:p>
        </w:tc>
      </w:tr>
      <w:tr w:rsidR="00752EFE" w:rsidRPr="00752EFE" w:rsidTr="00215690">
        <w:trPr>
          <w:trHeight w:val="300"/>
        </w:trPr>
        <w:tc>
          <w:tcPr>
            <w:tcW w:w="2354" w:type="dxa"/>
            <w:noWrap/>
            <w:hideMark/>
          </w:tcPr>
          <w:p w:rsidR="00752EFE" w:rsidRPr="00752EFE" w:rsidRDefault="00752EFE" w:rsidP="00752EFE">
            <w:pPr>
              <w:rPr>
                <w:sz w:val="20"/>
                <w:szCs w:val="20"/>
              </w:rPr>
            </w:pPr>
            <w:r w:rsidRPr="00752EFE">
              <w:rPr>
                <w:sz w:val="20"/>
                <w:szCs w:val="20"/>
              </w:rPr>
              <w:t>AAHEDC (Hydro Levy)</w:t>
            </w:r>
          </w:p>
        </w:tc>
        <w:tc>
          <w:tcPr>
            <w:tcW w:w="1276" w:type="dxa"/>
            <w:noWrap/>
            <w:hideMark/>
          </w:tcPr>
          <w:p w:rsidR="00752EFE" w:rsidRPr="00752EFE" w:rsidRDefault="00752EFE" w:rsidP="00752EFE">
            <w:pPr>
              <w:rPr>
                <w:sz w:val="20"/>
                <w:szCs w:val="20"/>
              </w:rPr>
            </w:pPr>
            <w:r w:rsidRPr="00752EFE">
              <w:rPr>
                <w:sz w:val="20"/>
                <w:szCs w:val="20"/>
              </w:rPr>
              <w:t>National Grid</w:t>
            </w:r>
          </w:p>
        </w:tc>
        <w:tc>
          <w:tcPr>
            <w:tcW w:w="3391" w:type="dxa"/>
            <w:noWrap/>
            <w:hideMark/>
          </w:tcPr>
          <w:p w:rsidR="00752EFE" w:rsidRPr="00752EFE" w:rsidRDefault="00752EFE" w:rsidP="00752EFE">
            <w:pPr>
              <w:rPr>
                <w:sz w:val="20"/>
                <w:szCs w:val="20"/>
              </w:rPr>
            </w:pPr>
            <w:r w:rsidRPr="00752EFE">
              <w:rPr>
                <w:sz w:val="20"/>
                <w:szCs w:val="20"/>
              </w:rPr>
              <w:t>Support for areas away from the main grid (i.e. Scottish islands)</w:t>
            </w:r>
          </w:p>
        </w:tc>
        <w:tc>
          <w:tcPr>
            <w:tcW w:w="955" w:type="dxa"/>
            <w:noWrap/>
            <w:hideMark/>
          </w:tcPr>
          <w:p w:rsidR="00752EFE" w:rsidRPr="00752EFE" w:rsidRDefault="00752EFE" w:rsidP="00752EFE">
            <w:pPr>
              <w:jc w:val="right"/>
              <w:rPr>
                <w:sz w:val="20"/>
                <w:szCs w:val="20"/>
              </w:rPr>
            </w:pPr>
            <w:r w:rsidRPr="00752EFE">
              <w:rPr>
                <w:sz w:val="20"/>
                <w:szCs w:val="20"/>
              </w:rPr>
              <w:t>0.2%</w:t>
            </w:r>
          </w:p>
        </w:tc>
        <w:tc>
          <w:tcPr>
            <w:tcW w:w="955" w:type="dxa"/>
            <w:noWrap/>
            <w:hideMark/>
          </w:tcPr>
          <w:p w:rsidR="00752EFE" w:rsidRPr="00752EFE" w:rsidRDefault="00752EFE" w:rsidP="00752EFE">
            <w:pPr>
              <w:jc w:val="right"/>
              <w:rPr>
                <w:sz w:val="20"/>
                <w:szCs w:val="20"/>
              </w:rPr>
            </w:pPr>
            <w:r w:rsidRPr="00752EFE">
              <w:rPr>
                <w:sz w:val="20"/>
                <w:szCs w:val="20"/>
              </w:rPr>
              <w:t>0.2%</w:t>
            </w:r>
          </w:p>
        </w:tc>
      </w:tr>
      <w:tr w:rsidR="00752EFE" w:rsidRPr="00752EFE" w:rsidTr="00215690">
        <w:trPr>
          <w:trHeight w:val="300"/>
        </w:trPr>
        <w:tc>
          <w:tcPr>
            <w:tcW w:w="2354" w:type="dxa"/>
            <w:noWrap/>
            <w:hideMark/>
          </w:tcPr>
          <w:p w:rsidR="00752EFE" w:rsidRPr="00752EFE" w:rsidRDefault="00752EFE" w:rsidP="00752EFE">
            <w:pPr>
              <w:rPr>
                <w:sz w:val="20"/>
                <w:szCs w:val="20"/>
              </w:rPr>
            </w:pPr>
            <w:proofErr w:type="spellStart"/>
            <w:r w:rsidRPr="00752EFE">
              <w:rPr>
                <w:sz w:val="20"/>
                <w:szCs w:val="20"/>
              </w:rPr>
              <w:t>FiT</w:t>
            </w:r>
            <w:proofErr w:type="spellEnd"/>
            <w:r w:rsidRPr="00752EFE">
              <w:rPr>
                <w:sz w:val="20"/>
                <w:szCs w:val="20"/>
              </w:rPr>
              <w:t xml:space="preserve"> </w:t>
            </w:r>
            <w:proofErr w:type="spellStart"/>
            <w:r w:rsidRPr="00752EFE">
              <w:rPr>
                <w:sz w:val="20"/>
                <w:szCs w:val="20"/>
              </w:rPr>
              <w:t>Levelisation</w:t>
            </w:r>
            <w:proofErr w:type="spellEnd"/>
          </w:p>
        </w:tc>
        <w:tc>
          <w:tcPr>
            <w:tcW w:w="1276" w:type="dxa"/>
            <w:noWrap/>
            <w:hideMark/>
          </w:tcPr>
          <w:p w:rsidR="00752EFE" w:rsidRPr="00752EFE" w:rsidRDefault="00752EFE" w:rsidP="00752EFE">
            <w:pPr>
              <w:rPr>
                <w:sz w:val="20"/>
                <w:szCs w:val="20"/>
              </w:rPr>
            </w:pPr>
            <w:r w:rsidRPr="00752EFE">
              <w:rPr>
                <w:sz w:val="20"/>
                <w:szCs w:val="20"/>
              </w:rPr>
              <w:t>Renewable Users</w:t>
            </w:r>
          </w:p>
        </w:tc>
        <w:tc>
          <w:tcPr>
            <w:tcW w:w="3391" w:type="dxa"/>
            <w:noWrap/>
            <w:hideMark/>
          </w:tcPr>
          <w:p w:rsidR="00752EFE" w:rsidRPr="00752EFE" w:rsidRDefault="00752EFE" w:rsidP="00752EFE">
            <w:pPr>
              <w:rPr>
                <w:sz w:val="20"/>
                <w:szCs w:val="20"/>
              </w:rPr>
            </w:pPr>
            <w:r w:rsidRPr="00752EFE">
              <w:rPr>
                <w:sz w:val="20"/>
                <w:szCs w:val="20"/>
              </w:rPr>
              <w:t>Support for Renewables</w:t>
            </w:r>
          </w:p>
        </w:tc>
        <w:tc>
          <w:tcPr>
            <w:tcW w:w="955" w:type="dxa"/>
            <w:noWrap/>
            <w:hideMark/>
          </w:tcPr>
          <w:p w:rsidR="00752EFE" w:rsidRPr="00752EFE" w:rsidRDefault="00752EFE" w:rsidP="00752EFE">
            <w:pPr>
              <w:jc w:val="right"/>
              <w:rPr>
                <w:sz w:val="20"/>
                <w:szCs w:val="20"/>
              </w:rPr>
            </w:pPr>
            <w:r w:rsidRPr="00752EFE">
              <w:rPr>
                <w:sz w:val="20"/>
                <w:szCs w:val="20"/>
              </w:rPr>
              <w:t>4.4%</w:t>
            </w:r>
          </w:p>
        </w:tc>
        <w:tc>
          <w:tcPr>
            <w:tcW w:w="955" w:type="dxa"/>
            <w:noWrap/>
            <w:hideMark/>
          </w:tcPr>
          <w:p w:rsidR="00752EFE" w:rsidRPr="00752EFE" w:rsidRDefault="00752EFE" w:rsidP="00752EFE">
            <w:pPr>
              <w:jc w:val="right"/>
              <w:rPr>
                <w:sz w:val="20"/>
                <w:szCs w:val="20"/>
              </w:rPr>
            </w:pPr>
            <w:r w:rsidRPr="00752EFE">
              <w:rPr>
                <w:sz w:val="20"/>
                <w:szCs w:val="20"/>
              </w:rPr>
              <w:t>5.5%</w:t>
            </w:r>
          </w:p>
        </w:tc>
      </w:tr>
      <w:tr w:rsidR="00752EFE" w:rsidRPr="00752EFE" w:rsidTr="00215690">
        <w:trPr>
          <w:trHeight w:val="300"/>
        </w:trPr>
        <w:tc>
          <w:tcPr>
            <w:tcW w:w="2354" w:type="dxa"/>
            <w:noWrap/>
            <w:hideMark/>
          </w:tcPr>
          <w:p w:rsidR="00752EFE" w:rsidRPr="00752EFE" w:rsidRDefault="00752EFE" w:rsidP="00752EFE">
            <w:pPr>
              <w:rPr>
                <w:sz w:val="20"/>
                <w:szCs w:val="20"/>
              </w:rPr>
            </w:pPr>
            <w:r w:rsidRPr="00752EFE">
              <w:rPr>
                <w:sz w:val="20"/>
                <w:szCs w:val="20"/>
              </w:rPr>
              <w:t>Climate Change Levy</w:t>
            </w:r>
          </w:p>
        </w:tc>
        <w:tc>
          <w:tcPr>
            <w:tcW w:w="1276" w:type="dxa"/>
            <w:noWrap/>
            <w:hideMark/>
          </w:tcPr>
          <w:p w:rsidR="00752EFE" w:rsidRPr="00752EFE" w:rsidRDefault="00752EFE" w:rsidP="00752EFE">
            <w:pPr>
              <w:rPr>
                <w:sz w:val="20"/>
                <w:szCs w:val="20"/>
              </w:rPr>
            </w:pPr>
            <w:r w:rsidRPr="00752EFE">
              <w:rPr>
                <w:sz w:val="20"/>
                <w:szCs w:val="20"/>
              </w:rPr>
              <w:t>BEIS</w:t>
            </w:r>
          </w:p>
        </w:tc>
        <w:tc>
          <w:tcPr>
            <w:tcW w:w="3391" w:type="dxa"/>
            <w:noWrap/>
            <w:hideMark/>
          </w:tcPr>
          <w:p w:rsidR="00752EFE" w:rsidRPr="00752EFE" w:rsidRDefault="00752EFE" w:rsidP="00752EFE">
            <w:pPr>
              <w:rPr>
                <w:sz w:val="20"/>
                <w:szCs w:val="20"/>
              </w:rPr>
            </w:pPr>
            <w:r w:rsidRPr="00752EFE">
              <w:rPr>
                <w:sz w:val="20"/>
                <w:szCs w:val="20"/>
              </w:rPr>
              <w:t>Levy on Electricity &amp; Gas</w:t>
            </w:r>
          </w:p>
        </w:tc>
        <w:tc>
          <w:tcPr>
            <w:tcW w:w="955" w:type="dxa"/>
            <w:noWrap/>
            <w:hideMark/>
          </w:tcPr>
          <w:p w:rsidR="00752EFE" w:rsidRPr="00752EFE" w:rsidRDefault="00752EFE" w:rsidP="00752EFE">
            <w:pPr>
              <w:jc w:val="right"/>
              <w:rPr>
                <w:sz w:val="20"/>
                <w:szCs w:val="20"/>
              </w:rPr>
            </w:pPr>
            <w:r w:rsidRPr="00752EFE">
              <w:rPr>
                <w:sz w:val="20"/>
                <w:szCs w:val="20"/>
              </w:rPr>
              <w:t>4.5%</w:t>
            </w:r>
          </w:p>
        </w:tc>
        <w:tc>
          <w:tcPr>
            <w:tcW w:w="955" w:type="dxa"/>
            <w:noWrap/>
            <w:hideMark/>
          </w:tcPr>
          <w:p w:rsidR="00752EFE" w:rsidRPr="00752EFE" w:rsidRDefault="00752EFE" w:rsidP="00752EFE">
            <w:pPr>
              <w:jc w:val="right"/>
              <w:rPr>
                <w:sz w:val="20"/>
                <w:szCs w:val="20"/>
              </w:rPr>
            </w:pPr>
            <w:r w:rsidRPr="00752EFE">
              <w:rPr>
                <w:sz w:val="20"/>
                <w:szCs w:val="20"/>
              </w:rPr>
              <w:t>n/a</w:t>
            </w:r>
          </w:p>
        </w:tc>
      </w:tr>
      <w:tr w:rsidR="00752EFE" w:rsidRPr="00752EFE" w:rsidTr="00215690">
        <w:trPr>
          <w:trHeight w:val="300"/>
        </w:trPr>
        <w:tc>
          <w:tcPr>
            <w:tcW w:w="2354" w:type="dxa"/>
            <w:noWrap/>
            <w:hideMark/>
          </w:tcPr>
          <w:p w:rsidR="00752EFE" w:rsidRPr="00752EFE" w:rsidRDefault="00752EFE" w:rsidP="00752EFE">
            <w:pPr>
              <w:rPr>
                <w:sz w:val="20"/>
                <w:szCs w:val="20"/>
              </w:rPr>
            </w:pPr>
            <w:r w:rsidRPr="00752EFE">
              <w:rPr>
                <w:sz w:val="20"/>
                <w:szCs w:val="20"/>
              </w:rPr>
              <w:t xml:space="preserve">Carbon Reduction Commitment </w:t>
            </w:r>
          </w:p>
        </w:tc>
        <w:tc>
          <w:tcPr>
            <w:tcW w:w="1276" w:type="dxa"/>
            <w:noWrap/>
            <w:hideMark/>
          </w:tcPr>
          <w:p w:rsidR="00752EFE" w:rsidRPr="00752EFE" w:rsidRDefault="00752EFE" w:rsidP="00752EFE">
            <w:pPr>
              <w:rPr>
                <w:sz w:val="20"/>
                <w:szCs w:val="20"/>
              </w:rPr>
            </w:pPr>
            <w:r w:rsidRPr="00752EFE">
              <w:rPr>
                <w:sz w:val="20"/>
                <w:szCs w:val="20"/>
              </w:rPr>
              <w:t>BEIS</w:t>
            </w:r>
          </w:p>
        </w:tc>
        <w:tc>
          <w:tcPr>
            <w:tcW w:w="3391" w:type="dxa"/>
            <w:noWrap/>
            <w:hideMark/>
          </w:tcPr>
          <w:p w:rsidR="00752EFE" w:rsidRPr="00752EFE" w:rsidRDefault="00752EFE" w:rsidP="00752EFE">
            <w:pPr>
              <w:rPr>
                <w:sz w:val="20"/>
                <w:szCs w:val="20"/>
              </w:rPr>
            </w:pPr>
            <w:r w:rsidRPr="00752EFE">
              <w:rPr>
                <w:sz w:val="20"/>
                <w:szCs w:val="20"/>
              </w:rPr>
              <w:t>Levy on larger consumers but Transport use exempt</w:t>
            </w:r>
          </w:p>
        </w:tc>
        <w:tc>
          <w:tcPr>
            <w:tcW w:w="955" w:type="dxa"/>
            <w:noWrap/>
            <w:hideMark/>
          </w:tcPr>
          <w:p w:rsidR="00752EFE" w:rsidRPr="00752EFE" w:rsidRDefault="00752EFE" w:rsidP="00752EFE">
            <w:pPr>
              <w:jc w:val="right"/>
              <w:rPr>
                <w:sz w:val="20"/>
                <w:szCs w:val="20"/>
              </w:rPr>
            </w:pPr>
            <w:r w:rsidRPr="00752EFE">
              <w:rPr>
                <w:sz w:val="20"/>
                <w:szCs w:val="20"/>
              </w:rPr>
              <w:t>4.9%</w:t>
            </w:r>
          </w:p>
        </w:tc>
        <w:tc>
          <w:tcPr>
            <w:tcW w:w="955" w:type="dxa"/>
            <w:noWrap/>
            <w:hideMark/>
          </w:tcPr>
          <w:p w:rsidR="00752EFE" w:rsidRPr="00752EFE" w:rsidRDefault="00752EFE" w:rsidP="00752EFE">
            <w:pPr>
              <w:jc w:val="right"/>
              <w:rPr>
                <w:sz w:val="20"/>
                <w:szCs w:val="20"/>
              </w:rPr>
            </w:pPr>
            <w:r w:rsidRPr="00752EFE">
              <w:rPr>
                <w:sz w:val="20"/>
                <w:szCs w:val="20"/>
              </w:rPr>
              <w:t>n/a</w:t>
            </w:r>
          </w:p>
        </w:tc>
      </w:tr>
      <w:tr w:rsidR="00752EFE" w:rsidRPr="00752EFE" w:rsidTr="00215690">
        <w:trPr>
          <w:trHeight w:val="510"/>
        </w:trPr>
        <w:tc>
          <w:tcPr>
            <w:tcW w:w="2354" w:type="dxa"/>
            <w:noWrap/>
            <w:hideMark/>
          </w:tcPr>
          <w:p w:rsidR="00752EFE" w:rsidRPr="00752EFE" w:rsidRDefault="00752EFE" w:rsidP="00752EFE">
            <w:pPr>
              <w:rPr>
                <w:sz w:val="20"/>
                <w:szCs w:val="20"/>
              </w:rPr>
            </w:pPr>
            <w:r w:rsidRPr="00752EFE">
              <w:rPr>
                <w:sz w:val="20"/>
                <w:szCs w:val="20"/>
              </w:rPr>
              <w:t>Transmission</w:t>
            </w:r>
          </w:p>
        </w:tc>
        <w:tc>
          <w:tcPr>
            <w:tcW w:w="1276" w:type="dxa"/>
            <w:noWrap/>
            <w:hideMark/>
          </w:tcPr>
          <w:p w:rsidR="00752EFE" w:rsidRPr="00752EFE" w:rsidRDefault="00752EFE" w:rsidP="00752EFE">
            <w:pPr>
              <w:rPr>
                <w:sz w:val="20"/>
                <w:szCs w:val="20"/>
              </w:rPr>
            </w:pPr>
            <w:r w:rsidRPr="00752EFE">
              <w:rPr>
                <w:sz w:val="20"/>
                <w:szCs w:val="20"/>
              </w:rPr>
              <w:t>National Grid</w:t>
            </w:r>
          </w:p>
        </w:tc>
        <w:tc>
          <w:tcPr>
            <w:tcW w:w="3391" w:type="dxa"/>
            <w:hideMark/>
          </w:tcPr>
          <w:p w:rsidR="00752EFE" w:rsidRPr="00752EFE" w:rsidRDefault="00752EFE" w:rsidP="00752EFE">
            <w:pPr>
              <w:rPr>
                <w:sz w:val="20"/>
                <w:szCs w:val="20"/>
              </w:rPr>
            </w:pPr>
            <w:r w:rsidRPr="00752EFE">
              <w:rPr>
                <w:sz w:val="20"/>
                <w:szCs w:val="20"/>
              </w:rPr>
              <w:t>Cost of Maintaining National Grid's network and, for some sites, cost of Distribution peak unit charges</w:t>
            </w:r>
          </w:p>
        </w:tc>
        <w:tc>
          <w:tcPr>
            <w:tcW w:w="955" w:type="dxa"/>
            <w:noWrap/>
            <w:hideMark/>
          </w:tcPr>
          <w:p w:rsidR="00752EFE" w:rsidRPr="00752EFE" w:rsidRDefault="00752EFE" w:rsidP="00752EFE">
            <w:pPr>
              <w:jc w:val="right"/>
              <w:rPr>
                <w:sz w:val="20"/>
                <w:szCs w:val="20"/>
              </w:rPr>
            </w:pPr>
            <w:r w:rsidRPr="00752EFE">
              <w:rPr>
                <w:sz w:val="20"/>
                <w:szCs w:val="20"/>
              </w:rPr>
              <w:t>7.0%</w:t>
            </w:r>
          </w:p>
        </w:tc>
        <w:tc>
          <w:tcPr>
            <w:tcW w:w="955" w:type="dxa"/>
            <w:noWrap/>
            <w:hideMark/>
          </w:tcPr>
          <w:p w:rsidR="00752EFE" w:rsidRPr="00752EFE" w:rsidRDefault="00752EFE" w:rsidP="00752EFE">
            <w:pPr>
              <w:jc w:val="right"/>
              <w:rPr>
                <w:sz w:val="20"/>
                <w:szCs w:val="20"/>
              </w:rPr>
            </w:pPr>
            <w:r w:rsidRPr="00752EFE">
              <w:rPr>
                <w:sz w:val="20"/>
                <w:szCs w:val="20"/>
              </w:rPr>
              <w:t>10.7%</w:t>
            </w:r>
          </w:p>
        </w:tc>
      </w:tr>
      <w:tr w:rsidR="00752EFE" w:rsidRPr="00752EFE" w:rsidTr="00215690">
        <w:trPr>
          <w:trHeight w:val="300"/>
        </w:trPr>
        <w:tc>
          <w:tcPr>
            <w:tcW w:w="2354" w:type="dxa"/>
            <w:noWrap/>
            <w:hideMark/>
          </w:tcPr>
          <w:p w:rsidR="00752EFE" w:rsidRPr="00752EFE" w:rsidRDefault="00752EFE" w:rsidP="00752EFE">
            <w:pPr>
              <w:rPr>
                <w:sz w:val="20"/>
                <w:szCs w:val="20"/>
              </w:rPr>
            </w:pPr>
            <w:r w:rsidRPr="00752EFE">
              <w:rPr>
                <w:sz w:val="20"/>
                <w:szCs w:val="20"/>
              </w:rPr>
              <w:t>Capacity Mechanism</w:t>
            </w:r>
          </w:p>
        </w:tc>
        <w:tc>
          <w:tcPr>
            <w:tcW w:w="1276" w:type="dxa"/>
            <w:noWrap/>
            <w:hideMark/>
          </w:tcPr>
          <w:p w:rsidR="00752EFE" w:rsidRPr="00752EFE" w:rsidRDefault="00752EFE" w:rsidP="00752EFE">
            <w:pPr>
              <w:rPr>
                <w:sz w:val="20"/>
                <w:szCs w:val="20"/>
              </w:rPr>
            </w:pPr>
            <w:r w:rsidRPr="00752EFE">
              <w:rPr>
                <w:sz w:val="20"/>
                <w:szCs w:val="20"/>
              </w:rPr>
              <w:t>Auction</w:t>
            </w:r>
          </w:p>
        </w:tc>
        <w:tc>
          <w:tcPr>
            <w:tcW w:w="3391" w:type="dxa"/>
            <w:noWrap/>
            <w:hideMark/>
          </w:tcPr>
          <w:p w:rsidR="00752EFE" w:rsidRPr="00752EFE" w:rsidRDefault="00752EFE" w:rsidP="00752EFE">
            <w:pPr>
              <w:rPr>
                <w:sz w:val="20"/>
                <w:szCs w:val="20"/>
              </w:rPr>
            </w:pPr>
            <w:r w:rsidRPr="00752EFE">
              <w:rPr>
                <w:sz w:val="20"/>
                <w:szCs w:val="20"/>
              </w:rPr>
              <w:t>Cost of ensuring capacity is available each winter</w:t>
            </w:r>
          </w:p>
        </w:tc>
        <w:tc>
          <w:tcPr>
            <w:tcW w:w="955" w:type="dxa"/>
            <w:noWrap/>
            <w:hideMark/>
          </w:tcPr>
          <w:p w:rsidR="00752EFE" w:rsidRPr="00752EFE" w:rsidRDefault="00752EFE" w:rsidP="00752EFE">
            <w:pPr>
              <w:jc w:val="right"/>
              <w:rPr>
                <w:sz w:val="20"/>
                <w:szCs w:val="20"/>
              </w:rPr>
            </w:pPr>
            <w:r w:rsidRPr="00752EFE">
              <w:rPr>
                <w:sz w:val="20"/>
                <w:szCs w:val="20"/>
              </w:rPr>
              <w:t>1.3%</w:t>
            </w:r>
          </w:p>
        </w:tc>
        <w:tc>
          <w:tcPr>
            <w:tcW w:w="955" w:type="dxa"/>
            <w:noWrap/>
            <w:hideMark/>
          </w:tcPr>
          <w:p w:rsidR="00752EFE" w:rsidRPr="00752EFE" w:rsidRDefault="00752EFE" w:rsidP="00752EFE">
            <w:pPr>
              <w:jc w:val="right"/>
              <w:rPr>
                <w:sz w:val="20"/>
                <w:szCs w:val="20"/>
              </w:rPr>
            </w:pPr>
            <w:r w:rsidRPr="00752EFE">
              <w:rPr>
                <w:sz w:val="20"/>
                <w:szCs w:val="20"/>
              </w:rPr>
              <w:t>1.6%</w:t>
            </w:r>
          </w:p>
        </w:tc>
      </w:tr>
      <w:tr w:rsidR="00752EFE" w:rsidRPr="00752EFE" w:rsidTr="00215690">
        <w:trPr>
          <w:trHeight w:val="510"/>
        </w:trPr>
        <w:tc>
          <w:tcPr>
            <w:tcW w:w="2354" w:type="dxa"/>
            <w:noWrap/>
            <w:hideMark/>
          </w:tcPr>
          <w:p w:rsidR="00752EFE" w:rsidRPr="00752EFE" w:rsidRDefault="00752EFE" w:rsidP="00752EFE">
            <w:pPr>
              <w:rPr>
                <w:sz w:val="20"/>
                <w:szCs w:val="20"/>
              </w:rPr>
            </w:pPr>
            <w:r w:rsidRPr="00752EFE">
              <w:rPr>
                <w:sz w:val="20"/>
                <w:szCs w:val="20"/>
              </w:rPr>
              <w:t xml:space="preserve">Distribution </w:t>
            </w:r>
          </w:p>
        </w:tc>
        <w:tc>
          <w:tcPr>
            <w:tcW w:w="1276" w:type="dxa"/>
            <w:noWrap/>
            <w:hideMark/>
          </w:tcPr>
          <w:p w:rsidR="00752EFE" w:rsidRPr="00752EFE" w:rsidRDefault="00752EFE" w:rsidP="00752EFE">
            <w:pPr>
              <w:rPr>
                <w:sz w:val="20"/>
                <w:szCs w:val="20"/>
              </w:rPr>
            </w:pPr>
            <w:r w:rsidRPr="00752EFE">
              <w:rPr>
                <w:sz w:val="20"/>
                <w:szCs w:val="20"/>
              </w:rPr>
              <w:t xml:space="preserve">Distribution </w:t>
            </w:r>
            <w:proofErr w:type="spellStart"/>
            <w:r w:rsidRPr="00752EFE">
              <w:rPr>
                <w:sz w:val="20"/>
                <w:szCs w:val="20"/>
              </w:rPr>
              <w:t>Co's</w:t>
            </w:r>
            <w:proofErr w:type="spellEnd"/>
          </w:p>
        </w:tc>
        <w:tc>
          <w:tcPr>
            <w:tcW w:w="3391" w:type="dxa"/>
            <w:hideMark/>
          </w:tcPr>
          <w:p w:rsidR="00752EFE" w:rsidRPr="00752EFE" w:rsidRDefault="00752EFE" w:rsidP="00752EFE">
            <w:pPr>
              <w:rPr>
                <w:sz w:val="20"/>
                <w:szCs w:val="20"/>
              </w:rPr>
            </w:pPr>
            <w:r w:rsidRPr="00752EFE">
              <w:rPr>
                <w:sz w:val="20"/>
                <w:szCs w:val="20"/>
              </w:rPr>
              <w:t xml:space="preserve">Cost of other fixed costs, such as maintenance of National Grid Connections, Distribution capacity costs and metering </w:t>
            </w:r>
          </w:p>
        </w:tc>
        <w:tc>
          <w:tcPr>
            <w:tcW w:w="955" w:type="dxa"/>
            <w:noWrap/>
            <w:hideMark/>
          </w:tcPr>
          <w:p w:rsidR="00752EFE" w:rsidRPr="00752EFE" w:rsidRDefault="00752EFE" w:rsidP="00752EFE">
            <w:pPr>
              <w:jc w:val="right"/>
              <w:rPr>
                <w:sz w:val="20"/>
                <w:szCs w:val="20"/>
              </w:rPr>
            </w:pPr>
            <w:r w:rsidRPr="00752EFE">
              <w:rPr>
                <w:sz w:val="20"/>
                <w:szCs w:val="20"/>
              </w:rPr>
              <w:t>16.9%</w:t>
            </w:r>
          </w:p>
        </w:tc>
        <w:tc>
          <w:tcPr>
            <w:tcW w:w="955" w:type="dxa"/>
            <w:noWrap/>
            <w:hideMark/>
          </w:tcPr>
          <w:p w:rsidR="00752EFE" w:rsidRPr="00752EFE" w:rsidRDefault="00752EFE" w:rsidP="00752EFE">
            <w:pPr>
              <w:jc w:val="right"/>
              <w:rPr>
                <w:sz w:val="20"/>
                <w:szCs w:val="20"/>
              </w:rPr>
            </w:pPr>
            <w:r w:rsidRPr="00752EFE">
              <w:rPr>
                <w:sz w:val="20"/>
                <w:szCs w:val="20"/>
              </w:rPr>
              <w:t>5.6%</w:t>
            </w:r>
          </w:p>
        </w:tc>
      </w:tr>
    </w:tbl>
    <w:p w:rsidR="00752EFE" w:rsidRPr="00752EFE" w:rsidRDefault="00752EFE" w:rsidP="00752EFE">
      <w:pPr>
        <w:spacing w:after="0" w:line="240" w:lineRule="auto"/>
      </w:pPr>
    </w:p>
    <w:p w:rsidR="00752EFE" w:rsidRPr="00752EFE" w:rsidRDefault="00752EFE" w:rsidP="00752EFE">
      <w:pPr>
        <w:spacing w:after="0" w:line="240" w:lineRule="auto"/>
      </w:pPr>
    </w:p>
    <w:p w:rsidR="00752EFE" w:rsidRPr="00752EFE" w:rsidRDefault="00752EFE" w:rsidP="00752EFE">
      <w:pPr>
        <w:spacing w:after="0" w:line="240" w:lineRule="auto"/>
      </w:pPr>
    </w:p>
    <w:p w:rsidR="0065582F" w:rsidRPr="0065582F" w:rsidRDefault="0065582F" w:rsidP="00752EFE"/>
    <w:sectPr w:rsidR="0065582F" w:rsidRPr="0065582F" w:rsidSect="00752EFE">
      <w:headerReference w:type="default" r:id="rId7"/>
      <w:footerReference w:type="default" r:id="rId8"/>
      <w:pgSz w:w="11906" w:h="16838"/>
      <w:pgMar w:top="1440" w:right="849" w:bottom="127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3D44" w:rsidRDefault="00ED3D44" w:rsidP="00ED3D44">
      <w:pPr>
        <w:spacing w:after="0" w:line="240" w:lineRule="auto"/>
      </w:pPr>
      <w:r>
        <w:separator/>
      </w:r>
    </w:p>
  </w:endnote>
  <w:endnote w:type="continuationSeparator" w:id="0">
    <w:p w:rsidR="00ED3D44" w:rsidRDefault="00ED3D44" w:rsidP="00ED3D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D44" w:rsidRDefault="00ED3D44" w:rsidP="00752EFE">
    <w:pPr>
      <w:pStyle w:val="Footer"/>
    </w:pPr>
    <w:r>
      <w:t xml:space="preserve">Prepared by </w:t>
    </w:r>
    <w:sdt>
      <w:sdtPr>
        <w:alias w:val="Author"/>
        <w:tag w:val=""/>
        <w:id w:val="460540687"/>
        <w:placeholder>
          <w:docPart w:val="19910C6E3B8543ECB0833FD7C4B09586"/>
        </w:placeholder>
        <w:dataBinding w:prefixMappings="xmlns:ns0='http://purl.org/dc/elements/1.1/' xmlns:ns1='http://schemas.openxmlformats.org/package/2006/metadata/core-properties' " w:xpath="/ns1:coreProperties[1]/ns0:creator[1]" w:storeItemID="{6C3C8BC8-F283-45AE-878A-BAB7291924A1}"/>
        <w:text/>
      </w:sdtPr>
      <w:sdtContent>
        <w:r w:rsidR="00752EFE">
          <w:t>Alan Bullock</w:t>
        </w:r>
      </w:sdtContent>
    </w:sdt>
    <w:r>
      <w:tab/>
    </w:r>
    <w:r>
      <w:tab/>
    </w:r>
    <w:r w:rsidR="00752EFE">
      <w:t>27 March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3D44" w:rsidRDefault="00ED3D44" w:rsidP="00ED3D44">
      <w:pPr>
        <w:spacing w:after="0" w:line="240" w:lineRule="auto"/>
      </w:pPr>
      <w:r>
        <w:separator/>
      </w:r>
    </w:p>
  </w:footnote>
  <w:footnote w:type="continuationSeparator" w:id="0">
    <w:p w:rsidR="00ED3D44" w:rsidRDefault="00ED3D44" w:rsidP="00ED3D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D44" w:rsidRDefault="0065582F" w:rsidP="00ED3D44">
    <w:pPr>
      <w:pStyle w:val="Header"/>
      <w:jc w:val="right"/>
    </w:pPr>
    <w:r>
      <w:rPr>
        <w:noProof/>
        <w:lang w:eastAsia="en-GB"/>
      </w:rPr>
      <w:drawing>
        <wp:anchor distT="0" distB="0" distL="114300" distR="114300" simplePos="0" relativeHeight="251660288" behindDoc="0" locked="0" layoutInCell="1" allowOverlap="1" wp14:anchorId="05B9B8FD" wp14:editId="40FA741D">
          <wp:simplePos x="0" y="0"/>
          <wp:positionH relativeFrom="column">
            <wp:posOffset>5214090</wp:posOffset>
          </wp:positionH>
          <wp:positionV relativeFrom="paragraph">
            <wp:posOffset>-87630</wp:posOffset>
          </wp:positionV>
          <wp:extent cx="1340485" cy="6172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twork Rail NEW ORANGE logo LARGE.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40485" cy="61722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9264" behindDoc="0" locked="0" layoutInCell="1" allowOverlap="1" wp14:anchorId="63454AD5" wp14:editId="7454C676">
              <wp:simplePos x="0" y="0"/>
              <wp:positionH relativeFrom="column">
                <wp:posOffset>-657860</wp:posOffset>
              </wp:positionH>
              <wp:positionV relativeFrom="paragraph">
                <wp:posOffset>-79905</wp:posOffset>
              </wp:positionV>
              <wp:extent cx="7454900" cy="1065865"/>
              <wp:effectExtent l="0" t="0" r="0" b="1270"/>
              <wp:wrapNone/>
              <wp:docPr id="2" name="Text Box 2"/>
              <wp:cNvGraphicFramePr/>
              <a:graphic xmlns:a="http://schemas.openxmlformats.org/drawingml/2006/main">
                <a:graphicData uri="http://schemas.microsoft.com/office/word/2010/wordprocessingShape">
                  <wps:wsp>
                    <wps:cNvSpPr txBox="1"/>
                    <wps:spPr>
                      <a:xfrm>
                        <a:off x="0" y="0"/>
                        <a:ext cx="7454900" cy="10658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5582F" w:rsidRDefault="0065582F" w:rsidP="00ED3D44">
                          <w:pPr>
                            <w:jc w:val="center"/>
                            <w:rPr>
                              <w:b/>
                              <w:color w:val="1F497D" w:themeColor="text2"/>
                              <w:sz w:val="28"/>
                            </w:rPr>
                          </w:pPr>
                        </w:p>
                        <w:p w:rsidR="00ED3D44" w:rsidRPr="00ED3D44" w:rsidRDefault="00ED3D44" w:rsidP="00ED3D44">
                          <w:pPr>
                            <w:jc w:val="center"/>
                            <w:rPr>
                              <w:b/>
                              <w:color w:val="1F497D" w:themeColor="text2"/>
                              <w:sz w:val="28"/>
                            </w:rPr>
                          </w:pPr>
                          <w:r w:rsidRPr="00ED3D44">
                            <w:rPr>
                              <w:b/>
                              <w:color w:val="1F497D" w:themeColor="text2"/>
                              <w:sz w:val="28"/>
                            </w:rPr>
                            <w:t>Energy Management Toolkit</w:t>
                          </w:r>
                        </w:p>
                        <w:p w:rsidR="00ED3D44" w:rsidRPr="00ED3D44" w:rsidRDefault="00ED3D44" w:rsidP="00ED3D44">
                          <w:pPr>
                            <w:jc w:val="center"/>
                            <w:rPr>
                              <w:b/>
                              <w:color w:val="1F497D" w:themeColor="text2"/>
                              <w:sz w:val="28"/>
                            </w:rPr>
                          </w:pPr>
                          <w:r w:rsidRPr="00ED3D44">
                            <w:rPr>
                              <w:b/>
                              <w:color w:val="1F497D" w:themeColor="text2"/>
                              <w:sz w:val="28"/>
                            </w:rPr>
                            <w:t>Guidance Note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1.8pt;margin-top:-6.3pt;width:587pt;height:83.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" filled="f" stroked="f" strokeweight=".5pt">
              <v:textbox>
                <w:txbxContent>
                  <w:p w:rsidR="0065582F" w:rsidRDefault="0065582F" w:rsidP="00ED3D44">
                    <w:pPr>
                      <w:jc w:val="center"/>
                      <w:rPr>
                        <w:b/>
                        <w:color w:val="1F497D" w:themeColor="text2"/>
                        <w:sz w:val="28"/>
                      </w:rPr>
                    </w:pPr>
                  </w:p>
                  <w:p w:rsidR="00ED3D44" w:rsidRPr="00ED3D44" w:rsidRDefault="00ED3D44" w:rsidP="00ED3D44">
                    <w:pPr>
                      <w:jc w:val="center"/>
                      <w:rPr>
                        <w:b/>
                        <w:color w:val="1F497D" w:themeColor="text2"/>
                        <w:sz w:val="28"/>
                      </w:rPr>
                    </w:pPr>
                    <w:r w:rsidRPr="00ED3D44">
                      <w:rPr>
                        <w:b/>
                        <w:color w:val="1F497D" w:themeColor="text2"/>
                        <w:sz w:val="28"/>
                      </w:rPr>
                      <w:t>Energy Management Toolkit</w:t>
                    </w:r>
                  </w:p>
                  <w:p w:rsidR="00ED3D44" w:rsidRPr="00ED3D44" w:rsidRDefault="00ED3D44" w:rsidP="00ED3D44">
                    <w:pPr>
                      <w:jc w:val="center"/>
                      <w:rPr>
                        <w:b/>
                        <w:color w:val="1F497D" w:themeColor="text2"/>
                        <w:sz w:val="28"/>
                      </w:rPr>
                    </w:pPr>
                    <w:r w:rsidRPr="00ED3D44">
                      <w:rPr>
                        <w:b/>
                        <w:color w:val="1F497D" w:themeColor="text2"/>
                        <w:sz w:val="28"/>
                      </w:rPr>
                      <w:t>Guidance Note</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D44"/>
    <w:rsid w:val="0065582F"/>
    <w:rsid w:val="00752EFE"/>
    <w:rsid w:val="00913302"/>
    <w:rsid w:val="00B86193"/>
    <w:rsid w:val="00DB3F0D"/>
    <w:rsid w:val="00E63081"/>
    <w:rsid w:val="00ED3D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3D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3D44"/>
  </w:style>
  <w:style w:type="paragraph" w:styleId="Footer">
    <w:name w:val="footer"/>
    <w:basedOn w:val="Normal"/>
    <w:link w:val="FooterChar"/>
    <w:uiPriority w:val="99"/>
    <w:unhideWhenUsed/>
    <w:rsid w:val="00ED3D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3D44"/>
  </w:style>
  <w:style w:type="paragraph" w:styleId="BalloonText">
    <w:name w:val="Balloon Text"/>
    <w:basedOn w:val="Normal"/>
    <w:link w:val="BalloonTextChar"/>
    <w:uiPriority w:val="99"/>
    <w:semiHidden/>
    <w:unhideWhenUsed/>
    <w:rsid w:val="00ED3D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3D44"/>
    <w:rPr>
      <w:rFonts w:ascii="Tahoma" w:hAnsi="Tahoma" w:cs="Tahoma"/>
      <w:sz w:val="16"/>
      <w:szCs w:val="16"/>
    </w:rPr>
  </w:style>
  <w:style w:type="character" w:styleId="PlaceholderText">
    <w:name w:val="Placeholder Text"/>
    <w:basedOn w:val="DefaultParagraphFont"/>
    <w:uiPriority w:val="99"/>
    <w:semiHidden/>
    <w:rsid w:val="00ED3D44"/>
    <w:rPr>
      <w:color w:val="808080"/>
    </w:rPr>
  </w:style>
  <w:style w:type="table" w:styleId="TableGrid">
    <w:name w:val="Table Grid"/>
    <w:basedOn w:val="TableNormal"/>
    <w:uiPriority w:val="59"/>
    <w:rsid w:val="00752E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3D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3D44"/>
  </w:style>
  <w:style w:type="paragraph" w:styleId="Footer">
    <w:name w:val="footer"/>
    <w:basedOn w:val="Normal"/>
    <w:link w:val="FooterChar"/>
    <w:uiPriority w:val="99"/>
    <w:unhideWhenUsed/>
    <w:rsid w:val="00ED3D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3D44"/>
  </w:style>
  <w:style w:type="paragraph" w:styleId="BalloonText">
    <w:name w:val="Balloon Text"/>
    <w:basedOn w:val="Normal"/>
    <w:link w:val="BalloonTextChar"/>
    <w:uiPriority w:val="99"/>
    <w:semiHidden/>
    <w:unhideWhenUsed/>
    <w:rsid w:val="00ED3D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3D44"/>
    <w:rPr>
      <w:rFonts w:ascii="Tahoma" w:hAnsi="Tahoma" w:cs="Tahoma"/>
      <w:sz w:val="16"/>
      <w:szCs w:val="16"/>
    </w:rPr>
  </w:style>
  <w:style w:type="character" w:styleId="PlaceholderText">
    <w:name w:val="Placeholder Text"/>
    <w:basedOn w:val="DefaultParagraphFont"/>
    <w:uiPriority w:val="99"/>
    <w:semiHidden/>
    <w:rsid w:val="00ED3D44"/>
    <w:rPr>
      <w:color w:val="808080"/>
    </w:rPr>
  </w:style>
  <w:style w:type="table" w:styleId="TableGrid">
    <w:name w:val="Table Grid"/>
    <w:basedOn w:val="TableNormal"/>
    <w:uiPriority w:val="59"/>
    <w:rsid w:val="00752E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9910C6E3B8543ECB0833FD7C4B09586"/>
        <w:category>
          <w:name w:val="General"/>
          <w:gallery w:val="placeholder"/>
        </w:category>
        <w:types>
          <w:type w:val="bbPlcHdr"/>
        </w:types>
        <w:behaviors>
          <w:behavior w:val="content"/>
        </w:behaviors>
        <w:guid w:val="{94F4FEF0-B84D-4F6C-ACBF-B439130EDBB6}"/>
      </w:docPartPr>
      <w:docPartBody>
        <w:p w:rsidR="00000000" w:rsidRDefault="0014141B">
          <w:r w:rsidRPr="00614422">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41B"/>
    <w:rsid w:val="001414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41B"/>
    <w:rPr>
      <w:rFonts w:cs="Times New Roman"/>
      <w:sz w:val="3276"/>
      <w:szCs w:val="3276"/>
    </w:rPr>
  </w:style>
  <w:style w:type="character" w:default="1" w:styleId="DefaultParagraphFont">
    <w:name w:val="Default Paragraph Font"/>
    <w:uiPriority w:val="1"/>
    <w:semiHidden/>
    <w:unhideWhenUsed/>
    <w:rsid w:val="0014141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141B"/>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41B"/>
    <w:rPr>
      <w:rFonts w:cs="Times New Roman"/>
      <w:sz w:val="3276"/>
      <w:szCs w:val="3276"/>
    </w:rPr>
  </w:style>
  <w:style w:type="character" w:default="1" w:styleId="DefaultParagraphFont">
    <w:name w:val="Default Paragraph Font"/>
    <w:uiPriority w:val="1"/>
    <w:semiHidden/>
    <w:unhideWhenUsed/>
    <w:rsid w:val="0014141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141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1235</Words>
  <Characters>7046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Network Rail</Company>
  <LinksUpToDate>false</LinksUpToDate>
  <CharactersWithSpaces>8265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Bullock</dc:creator>
  <cp:lastModifiedBy>Wheeler Wendi</cp:lastModifiedBy>
  <cp:revision>2</cp:revision>
  <dcterms:created xsi:type="dcterms:W3CDTF">2017-03-27T15:56:00Z</dcterms:created>
  <dcterms:modified xsi:type="dcterms:W3CDTF">2017-03-27T15:56:00Z</dcterms:modified>
</cp:coreProperties>
</file>