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FA34D" w14:textId="77777777" w:rsidR="00E41C5A" w:rsidRPr="00E41C5A" w:rsidRDefault="00E41C5A" w:rsidP="00E41C5A">
      <w:pPr>
        <w:pStyle w:val="AppendixHeading1"/>
        <w:numPr>
          <w:ilvl w:val="0"/>
          <w:numId w:val="0"/>
        </w:numPr>
        <w:rPr>
          <w:color w:val="000000" w:themeColor="text1"/>
        </w:rPr>
      </w:pPr>
      <w:bookmarkStart w:id="0" w:name="_GoBack"/>
      <w:bookmarkEnd w:id="0"/>
      <w:r w:rsidRPr="00E41C5A">
        <w:rPr>
          <w:color w:val="000000" w:themeColor="text1"/>
        </w:rPr>
        <w:t>Trauma Screening Questionnaire</w:t>
      </w:r>
    </w:p>
    <w:p w14:paraId="5CC8AE24" w14:textId="77777777" w:rsidR="00E41C5A" w:rsidRPr="00E41C5A" w:rsidRDefault="00E41C5A" w:rsidP="00E41C5A">
      <w:r w:rsidRPr="00E41C5A">
        <w:t xml:space="preserve">Consider the following reactions which sometimes occur after a traumatic event. This questionnaire is concerned with your personal reactions to the traumatic event which happened a few weeks ago. </w:t>
      </w:r>
    </w:p>
    <w:p w14:paraId="19CD8DDF" w14:textId="77777777" w:rsidR="00E41C5A" w:rsidRPr="00E41C5A" w:rsidRDefault="00E41C5A" w:rsidP="00E41C5A">
      <w:r w:rsidRPr="00E41C5A">
        <w:tab/>
      </w:r>
    </w:p>
    <w:tbl>
      <w:tblPr>
        <w:tblW w:w="9642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18"/>
        <w:gridCol w:w="2016"/>
        <w:gridCol w:w="1008"/>
      </w:tblGrid>
      <w:tr w:rsidR="00E41C5A" w14:paraId="2804E7D1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DC861F9" w14:textId="77777777" w:rsidR="00E41C5A" w:rsidRPr="0026096A" w:rsidRDefault="00E41C5A" w:rsidP="00B45E8C">
            <w:pPr>
              <w:spacing w:line="19" w:lineRule="exact"/>
              <w:rPr>
                <w:b/>
              </w:rPr>
            </w:pPr>
          </w:p>
          <w:p w14:paraId="0B6395FB" w14:textId="77777777" w:rsidR="00E41C5A" w:rsidRPr="0026096A" w:rsidRDefault="00E41C5A" w:rsidP="00B45E8C">
            <w:pPr>
              <w:pStyle w:val="Appendixnumberedpara"/>
              <w:numPr>
                <w:ilvl w:val="0"/>
                <w:numId w:val="0"/>
              </w:numPr>
              <w:spacing w:before="120"/>
              <w:rPr>
                <w:b/>
              </w:rPr>
            </w:pPr>
            <w:r w:rsidRPr="0026096A">
              <w:rPr>
                <w:b/>
              </w:rPr>
              <w:t xml:space="preserve">Indicate whether or not you have experienced any of the following at least twice in the past week:                                                                                         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67D6FDD" w14:textId="77777777" w:rsidR="00E41C5A" w:rsidRPr="0026096A" w:rsidRDefault="00E41C5A" w:rsidP="00B45E8C">
            <w:pPr>
              <w:spacing w:line="19" w:lineRule="exact"/>
              <w:rPr>
                <w:b/>
              </w:rPr>
            </w:pPr>
          </w:p>
          <w:p w14:paraId="1539352C" w14:textId="77777777" w:rsidR="00E41C5A" w:rsidRPr="0026096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after="120"/>
              <w:rPr>
                <w:b/>
              </w:rPr>
            </w:pPr>
            <w:r w:rsidRPr="0026096A">
              <w:rPr>
                <w:b/>
              </w:rPr>
              <w:t>Yes, at least twice in the past week</w:t>
            </w: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4EB9A230" w14:textId="77777777" w:rsidR="00E41C5A" w:rsidRPr="0026096A" w:rsidRDefault="00E41C5A" w:rsidP="00B45E8C">
            <w:pPr>
              <w:spacing w:line="19" w:lineRule="exact"/>
              <w:rPr>
                <w:b/>
              </w:rPr>
            </w:pPr>
          </w:p>
          <w:p w14:paraId="428FF709" w14:textId="77777777" w:rsidR="00E41C5A" w:rsidRPr="0026096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line="360" w:lineRule="auto"/>
              <w:rPr>
                <w:b/>
              </w:rPr>
            </w:pPr>
            <w:r w:rsidRPr="0026096A">
              <w:rPr>
                <w:b/>
              </w:rPr>
              <w:t xml:space="preserve">   No</w:t>
            </w:r>
          </w:p>
        </w:tc>
      </w:tr>
      <w:tr w:rsidR="00E41C5A" w14:paraId="7EF4060D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F3E04B5" w14:textId="77777777" w:rsidR="00E41C5A" w:rsidRDefault="00E41C5A" w:rsidP="00B45E8C"/>
          <w:p w14:paraId="69476E0A" w14:textId="77777777" w:rsidR="00E41C5A" w:rsidRDefault="00E41C5A" w:rsidP="00B45E8C">
            <w:pPr>
              <w:tabs>
                <w:tab w:val="left" w:pos="3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450" w:hanging="450"/>
            </w:pPr>
            <w:r>
              <w:t>1.    Upsetting thoughts or memories about the event that have  come into your mind against your will.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455711D" w14:textId="77777777" w:rsidR="00E41C5A" w:rsidRDefault="00E41C5A" w:rsidP="00B45E8C">
            <w:pPr>
              <w:spacing w:line="19" w:lineRule="exact"/>
            </w:pPr>
          </w:p>
          <w:p w14:paraId="0CE14C91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3A4300DC" w14:textId="77777777" w:rsidR="00E41C5A" w:rsidRDefault="00E41C5A" w:rsidP="00B45E8C">
            <w:pPr>
              <w:spacing w:line="19" w:lineRule="exact"/>
            </w:pPr>
          </w:p>
          <w:p w14:paraId="3784DBE1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</w:tr>
      <w:tr w:rsidR="00E41C5A" w14:paraId="56448E57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2990D37" w14:textId="77777777" w:rsidR="00E41C5A" w:rsidRDefault="00E41C5A" w:rsidP="00B45E8C">
            <w:pPr>
              <w:spacing w:line="19" w:lineRule="exact"/>
            </w:pPr>
          </w:p>
          <w:p w14:paraId="749CF7C8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  <w:r>
              <w:t>2.    Upsetting dreams about the event.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4DA96C9" w14:textId="77777777" w:rsidR="00E41C5A" w:rsidRDefault="00E41C5A" w:rsidP="00B45E8C">
            <w:pPr>
              <w:spacing w:line="19" w:lineRule="exact"/>
            </w:pPr>
          </w:p>
          <w:p w14:paraId="10D782DA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36C392E7" w14:textId="77777777" w:rsidR="00E41C5A" w:rsidRDefault="00E41C5A" w:rsidP="00B45E8C">
            <w:pPr>
              <w:spacing w:line="19" w:lineRule="exact"/>
            </w:pPr>
          </w:p>
          <w:p w14:paraId="07E77A1E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</w:tr>
      <w:tr w:rsidR="00E41C5A" w14:paraId="218D800F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F157759" w14:textId="77777777" w:rsidR="00E41C5A" w:rsidRDefault="00E41C5A" w:rsidP="00B45E8C">
            <w:pPr>
              <w:spacing w:line="19" w:lineRule="exact"/>
            </w:pPr>
          </w:p>
          <w:p w14:paraId="15905FB6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  <w:r>
              <w:t>3.    Acting or feeling as though the event were happening again.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EB47C71" w14:textId="77777777" w:rsidR="00E41C5A" w:rsidRDefault="00E41C5A" w:rsidP="00B45E8C">
            <w:pPr>
              <w:spacing w:line="19" w:lineRule="exact"/>
            </w:pPr>
          </w:p>
          <w:p w14:paraId="4D16E526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0261C471" w14:textId="77777777" w:rsidR="00E41C5A" w:rsidRDefault="00E41C5A" w:rsidP="00B45E8C">
            <w:pPr>
              <w:spacing w:line="19" w:lineRule="exact"/>
            </w:pPr>
          </w:p>
          <w:p w14:paraId="7BB9CA29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</w:tr>
      <w:tr w:rsidR="00E41C5A" w14:paraId="65EEF818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C767EEA" w14:textId="77777777" w:rsidR="00E41C5A" w:rsidRDefault="00E41C5A" w:rsidP="00B45E8C">
            <w:pPr>
              <w:spacing w:line="19" w:lineRule="exact"/>
            </w:pPr>
          </w:p>
          <w:p w14:paraId="78EFAB13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  <w:r>
              <w:t>4.    Feeling upset by reminders of the event.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D82F077" w14:textId="77777777" w:rsidR="00E41C5A" w:rsidRDefault="00E41C5A" w:rsidP="00B45E8C">
            <w:pPr>
              <w:spacing w:line="19" w:lineRule="exact"/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434FC2BF" w14:textId="77777777" w:rsidR="00E41C5A" w:rsidRDefault="00E41C5A" w:rsidP="00B45E8C">
            <w:pPr>
              <w:spacing w:line="19" w:lineRule="exact"/>
            </w:pPr>
          </w:p>
        </w:tc>
      </w:tr>
      <w:tr w:rsidR="00E41C5A" w14:paraId="6B4B04C2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BB0A157" w14:textId="77777777" w:rsidR="00E41C5A" w:rsidRDefault="00E41C5A" w:rsidP="00B45E8C">
            <w:pPr>
              <w:spacing w:line="19" w:lineRule="exact"/>
            </w:pPr>
          </w:p>
          <w:p w14:paraId="622A3A4E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 xml:space="preserve">5.    Bodily reactions (such as fast heartbeat, stomach churning, </w:t>
            </w:r>
          </w:p>
          <w:p w14:paraId="090BA8EB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 xml:space="preserve">       sweatiness, dizziness) when reminded of the event.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F5BE609" w14:textId="77777777" w:rsidR="00E41C5A" w:rsidRDefault="00E41C5A" w:rsidP="00B45E8C">
            <w:pPr>
              <w:spacing w:line="19" w:lineRule="exact"/>
            </w:pPr>
          </w:p>
          <w:p w14:paraId="2394B69F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1B2EB2F4" w14:textId="77777777" w:rsidR="00E41C5A" w:rsidRDefault="00E41C5A" w:rsidP="00B45E8C">
            <w:pPr>
              <w:spacing w:line="19" w:lineRule="exact"/>
            </w:pPr>
          </w:p>
          <w:p w14:paraId="6993EF2A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</w:tr>
      <w:tr w:rsidR="00E41C5A" w14:paraId="2CE5A95E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80272E6" w14:textId="77777777" w:rsidR="00E41C5A" w:rsidRDefault="00E41C5A" w:rsidP="00B45E8C">
            <w:pPr>
              <w:spacing w:line="19" w:lineRule="exact"/>
            </w:pPr>
          </w:p>
          <w:p w14:paraId="50FEB519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  <w:r>
              <w:t>6.    Difficulty falling or staying asleep.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6766E3A" w14:textId="77777777" w:rsidR="00E41C5A" w:rsidRDefault="00E41C5A" w:rsidP="00B45E8C">
            <w:pPr>
              <w:spacing w:line="19" w:lineRule="exact"/>
            </w:pPr>
          </w:p>
          <w:p w14:paraId="186F815D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08C27B8B" w14:textId="77777777" w:rsidR="00E41C5A" w:rsidRDefault="00E41C5A" w:rsidP="00B45E8C">
            <w:pPr>
              <w:spacing w:line="19" w:lineRule="exact"/>
            </w:pPr>
          </w:p>
          <w:p w14:paraId="280A4429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</w:tr>
      <w:tr w:rsidR="00E41C5A" w14:paraId="36E45A8A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19F5823" w14:textId="77777777" w:rsidR="00E41C5A" w:rsidRDefault="00E41C5A" w:rsidP="00B45E8C">
            <w:pPr>
              <w:spacing w:line="19" w:lineRule="exact"/>
            </w:pPr>
          </w:p>
          <w:p w14:paraId="5904FA26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  <w:r>
              <w:t>7.    Irritability or outbursts of anger.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EFD6FEE" w14:textId="77777777" w:rsidR="00E41C5A" w:rsidRDefault="00E41C5A" w:rsidP="00B45E8C">
            <w:pPr>
              <w:spacing w:line="19" w:lineRule="exact"/>
            </w:pPr>
          </w:p>
          <w:p w14:paraId="4BBBC085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7CD59DF5" w14:textId="77777777" w:rsidR="00E41C5A" w:rsidRDefault="00E41C5A" w:rsidP="00B45E8C">
            <w:pPr>
              <w:spacing w:line="19" w:lineRule="exact"/>
            </w:pPr>
          </w:p>
          <w:p w14:paraId="2A19B292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</w:tr>
      <w:tr w:rsidR="00E41C5A" w14:paraId="5F7B82D8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1722F41" w14:textId="77777777" w:rsidR="00E41C5A" w:rsidRDefault="00E41C5A" w:rsidP="00B45E8C">
            <w:pPr>
              <w:spacing w:line="19" w:lineRule="exact"/>
            </w:pPr>
          </w:p>
          <w:p w14:paraId="448BC99F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  <w:r>
              <w:t>8.    Difficulty concentrating.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1C2C017" w14:textId="77777777" w:rsidR="00E41C5A" w:rsidRDefault="00E41C5A" w:rsidP="00B45E8C">
            <w:pPr>
              <w:spacing w:line="19" w:lineRule="exact"/>
            </w:pPr>
          </w:p>
          <w:p w14:paraId="674FF856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01F6EE1D" w14:textId="77777777" w:rsidR="00E41C5A" w:rsidRDefault="00E41C5A" w:rsidP="00B45E8C">
            <w:pPr>
              <w:spacing w:line="19" w:lineRule="exact"/>
            </w:pPr>
          </w:p>
          <w:p w14:paraId="79196D1A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</w:tr>
      <w:tr w:rsidR="00E41C5A" w14:paraId="39770E23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05787BD" w14:textId="77777777" w:rsidR="00E41C5A" w:rsidRDefault="00E41C5A" w:rsidP="00B45E8C">
            <w:pPr>
              <w:spacing w:line="19" w:lineRule="exact"/>
            </w:pPr>
          </w:p>
          <w:p w14:paraId="58FF2D62" w14:textId="77777777" w:rsidR="00E41C5A" w:rsidRDefault="00E41C5A" w:rsidP="00B45E8C">
            <w:pPr>
              <w:tabs>
                <w:tab w:val="left" w:pos="45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450" w:hanging="450"/>
            </w:pPr>
            <w:r>
              <w:t>9.    Heightened awareness of potential dangers to yourself and others.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07CECA1" w14:textId="77777777" w:rsidR="00E41C5A" w:rsidRDefault="00E41C5A" w:rsidP="00B45E8C">
            <w:pPr>
              <w:spacing w:line="19" w:lineRule="exact"/>
            </w:pPr>
          </w:p>
          <w:p w14:paraId="638EC922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77C705B9" w14:textId="77777777" w:rsidR="00E41C5A" w:rsidRDefault="00E41C5A" w:rsidP="00B45E8C">
            <w:pPr>
              <w:spacing w:line="19" w:lineRule="exact"/>
            </w:pPr>
          </w:p>
          <w:p w14:paraId="29338B63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</w:tr>
      <w:tr w:rsidR="00E41C5A" w14:paraId="667613D4" w14:textId="77777777" w:rsidTr="00B45E8C">
        <w:trPr>
          <w:jc w:val="center"/>
        </w:trPr>
        <w:tc>
          <w:tcPr>
            <w:tcW w:w="66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6" w:space="0" w:color="FFFFFF"/>
            </w:tcBorders>
          </w:tcPr>
          <w:p w14:paraId="27661EE5" w14:textId="77777777" w:rsidR="00E41C5A" w:rsidRDefault="00E41C5A" w:rsidP="00B45E8C">
            <w:pPr>
              <w:spacing w:line="19" w:lineRule="exact"/>
            </w:pPr>
          </w:p>
          <w:p w14:paraId="13BC0A4A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  <w:r>
              <w:t>10.  Being jumpy or being startled at something unexpected.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6" w:space="0" w:color="FFFFFF"/>
            </w:tcBorders>
          </w:tcPr>
          <w:p w14:paraId="2FE37D38" w14:textId="77777777" w:rsidR="00E41C5A" w:rsidRDefault="00E41C5A" w:rsidP="00B45E8C">
            <w:pPr>
              <w:spacing w:line="19" w:lineRule="exact"/>
            </w:pPr>
          </w:p>
          <w:p w14:paraId="454799FF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6EB9E81" w14:textId="77777777" w:rsidR="00E41C5A" w:rsidRDefault="00E41C5A" w:rsidP="00B45E8C">
            <w:pPr>
              <w:spacing w:line="19" w:lineRule="exact"/>
            </w:pPr>
          </w:p>
          <w:p w14:paraId="782CB704" w14:textId="77777777" w:rsidR="00E41C5A" w:rsidRDefault="00E41C5A" w:rsidP="00B45E8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</w:pPr>
          </w:p>
        </w:tc>
      </w:tr>
    </w:tbl>
    <w:p w14:paraId="5AE3A420" w14:textId="77777777" w:rsidR="00E41C5A" w:rsidRPr="0012012C" w:rsidRDefault="00E41C5A" w:rsidP="00E41C5A">
      <w:pPr>
        <w:pStyle w:val="Appendixsubheading"/>
      </w:pPr>
    </w:p>
    <w:p w14:paraId="6A1C3FFB" w14:textId="77777777" w:rsidR="00E41C5A" w:rsidRPr="0012012C" w:rsidRDefault="00E41C5A" w:rsidP="00E41C5A">
      <w:pPr>
        <w:pStyle w:val="Appendixnumberedpara"/>
        <w:numPr>
          <w:ilvl w:val="0"/>
          <w:numId w:val="0"/>
        </w:numPr>
        <w:ind w:left="992"/>
        <w:rPr>
          <w:lang w:val="de-DE"/>
        </w:rPr>
      </w:pPr>
    </w:p>
    <w:p w14:paraId="58CF70A6" w14:textId="77777777" w:rsidR="00F270BE" w:rsidRDefault="00F270BE"/>
    <w:sectPr w:rsidR="00F270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ED292" w14:textId="77777777" w:rsidR="00850528" w:rsidRDefault="00850528" w:rsidP="00E41C5A">
      <w:r>
        <w:separator/>
      </w:r>
    </w:p>
  </w:endnote>
  <w:endnote w:type="continuationSeparator" w:id="0">
    <w:p w14:paraId="357EE88D" w14:textId="77777777" w:rsidR="00850528" w:rsidRDefault="00850528" w:rsidP="00E4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59414" w14:textId="77777777" w:rsidR="00D612BB" w:rsidRDefault="00D612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CC69D" w14:textId="77777777" w:rsidR="00E41C5A" w:rsidRPr="00E41C5A" w:rsidRDefault="00E41C5A" w:rsidP="00E41C5A">
    <w:pPr>
      <w:pStyle w:val="PlainText"/>
      <w:rPr>
        <w:i/>
        <w:color w:val="auto"/>
      </w:rPr>
    </w:pPr>
    <w:r w:rsidRPr="00E41C5A">
      <w:rPr>
        <w:color w:val="auto"/>
      </w:rPr>
      <w:t>© Extract taken from</w:t>
    </w:r>
    <w:r w:rsidRPr="00E41C5A">
      <w:rPr>
        <w:i/>
        <w:color w:val="auto"/>
      </w:rPr>
      <w:t xml:space="preserve"> ' Brewin, C.R., Rose, S., Andrews, B., Green, J., Tata, P., McEvedy, C., .Foa, E.B. (2002). A brief screening instrument for posttraumatic stress disorder. BRITISH JOURNAL of PSYCHIATRY, 181 158-162'.</w:t>
    </w:r>
  </w:p>
  <w:p w14:paraId="0ECC55B2" w14:textId="77777777" w:rsidR="00E41C5A" w:rsidRDefault="00E41C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96228" w14:textId="77777777" w:rsidR="00D612BB" w:rsidRDefault="00D612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74AF3" w14:textId="77777777" w:rsidR="00850528" w:rsidRDefault="00850528" w:rsidP="00E41C5A">
      <w:r>
        <w:separator/>
      </w:r>
    </w:p>
  </w:footnote>
  <w:footnote w:type="continuationSeparator" w:id="0">
    <w:p w14:paraId="7A25A260" w14:textId="77777777" w:rsidR="00850528" w:rsidRDefault="00850528" w:rsidP="00E41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31630" w14:textId="77777777" w:rsidR="00D612BB" w:rsidRDefault="00D612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000" w:firstRow="0" w:lastRow="0" w:firstColumn="0" w:lastColumn="0" w:noHBand="0" w:noVBand="0"/>
    </w:tblPr>
    <w:tblGrid>
      <w:gridCol w:w="1620"/>
      <w:gridCol w:w="1887"/>
    </w:tblGrid>
    <w:tr w:rsidR="00E41C5A" w:rsidRPr="00E3499F" w14:paraId="30538E8B" w14:textId="77777777" w:rsidTr="00B45E8C">
      <w:trPr>
        <w:cantSplit/>
        <w:jc w:val="right"/>
      </w:trPr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F9ADCA9" w14:textId="77777777" w:rsidR="00E41C5A" w:rsidRPr="005C09D1" w:rsidRDefault="00D612BB" w:rsidP="00B45E8C">
          <w:pPr>
            <w:pStyle w:val="HeaderTable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78291190" wp14:editId="5A93AF4E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190500</wp:posOffset>
                    </wp:positionV>
                    <wp:extent cx="7560310" cy="273050"/>
                    <wp:effectExtent l="0" t="0" r="0" b="12700"/>
                    <wp:wrapNone/>
                    <wp:docPr id="1" name="MSIPCM8bff4580a595388e07db79e9" descr="{&quot;HashCode&quot;:-1288984879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B9360C" w14:textId="77777777" w:rsidR="00D612BB" w:rsidRPr="00D612BB" w:rsidRDefault="00D612BB" w:rsidP="00D612BB">
                                <w:pPr>
                                  <w:jc w:val="center"/>
                                  <w:rPr>
                                    <w:rFonts w:ascii="Calibri" w:hAnsi="Calibri"/>
                                    <w:color w:val="000000"/>
                                    <w:sz w:val="20"/>
                                  </w:rPr>
                                </w:pPr>
                                <w:r w:rsidRPr="00D612BB">
                                  <w:rPr>
                                    <w:rFonts w:ascii="Calibri" w:hAnsi="Calibri"/>
                                    <w:color w:val="000000"/>
                                    <w:sz w:val="20"/>
                                  </w:rPr>
                                  <w:t>OFFICIAL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8291190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8bff4580a595388e07db79e9" o:spid="_x0000_s1026" type="#_x0000_t202" alt="{&quot;HashCode&quot;:-1288984879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" o:allowincell="f" filled="f" stroked="f" strokeweight=".5pt">
                    <v:fill o:detectmouseclick="t"/>
                    <v:textbox inset=",0,,0">
                      <w:txbxContent>
                        <w:p w14:paraId="6EB9360C" w14:textId="77777777" w:rsidR="00D612BB" w:rsidRPr="00D612BB" w:rsidRDefault="00D612BB" w:rsidP="00D612BB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D612BB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E41C5A" w:rsidRPr="005C09D1">
            <w:t>Ref:</w:t>
          </w:r>
        </w:p>
      </w:tc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310387A" w14:textId="77777777" w:rsidR="00E41C5A" w:rsidRPr="00E6193C" w:rsidRDefault="00E41C5A" w:rsidP="00B45E8C">
          <w:pPr>
            <w:pStyle w:val="DocRef"/>
          </w:pPr>
          <w:r w:rsidRPr="00E6193C">
            <w:t>NR/</w:t>
          </w:r>
          <w:r>
            <w:t>L2/OHS/052/F01</w:t>
          </w:r>
        </w:p>
      </w:tc>
    </w:tr>
    <w:tr w:rsidR="00E41C5A" w:rsidRPr="00E3499F" w14:paraId="1C1EDD8E" w14:textId="77777777" w:rsidTr="00B45E8C">
      <w:trPr>
        <w:cantSplit/>
        <w:jc w:val="right"/>
      </w:trPr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0902565" w14:textId="77777777" w:rsidR="00E41C5A" w:rsidRPr="005C09D1" w:rsidRDefault="00E41C5A" w:rsidP="00B45E8C">
          <w:pPr>
            <w:pStyle w:val="HeaderTable"/>
          </w:pPr>
          <w:r w:rsidRPr="005C09D1">
            <w:t>Issue:</w:t>
          </w:r>
        </w:p>
      </w:tc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4F73E54" w14:textId="77777777" w:rsidR="00E41C5A" w:rsidRPr="00E6193C" w:rsidRDefault="00E41C5A" w:rsidP="00B45E8C">
          <w:pPr>
            <w:pStyle w:val="DocIssueNo"/>
          </w:pPr>
          <w:r>
            <w:t>1</w:t>
          </w:r>
        </w:p>
      </w:tc>
    </w:tr>
    <w:tr w:rsidR="00E41C5A" w:rsidRPr="00E3499F" w14:paraId="20947044" w14:textId="77777777" w:rsidTr="00B45E8C">
      <w:trPr>
        <w:cantSplit/>
        <w:jc w:val="right"/>
      </w:trPr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7265D89" w14:textId="77777777" w:rsidR="00E41C5A" w:rsidRPr="005C09D1" w:rsidRDefault="00E41C5A" w:rsidP="00B45E8C">
          <w:pPr>
            <w:pStyle w:val="HeaderTable"/>
          </w:pPr>
          <w:r w:rsidRPr="005C09D1">
            <w:t>Date:</w:t>
          </w:r>
        </w:p>
      </w:tc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DF3F83" w14:textId="77777777" w:rsidR="00E41C5A" w:rsidRPr="00E6193C" w:rsidRDefault="00E41C5A" w:rsidP="00B45E8C">
          <w:pPr>
            <w:pStyle w:val="DocIssueDate"/>
          </w:pPr>
          <w:r>
            <w:t>05 June 2016</w:t>
          </w:r>
        </w:p>
      </w:tc>
    </w:tr>
  </w:tbl>
  <w:p w14:paraId="79A394DA" w14:textId="77777777" w:rsidR="00E41C5A" w:rsidRDefault="00E41C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17ECD" w14:textId="77777777" w:rsidR="00D612BB" w:rsidRDefault="00D612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A3B66"/>
    <w:multiLevelType w:val="multilevel"/>
    <w:tmpl w:val="769A9494"/>
    <w:lvl w:ilvl="0">
      <w:start w:val="1"/>
      <w:numFmt w:val="upperLetter"/>
      <w:pStyle w:val="AppendixHeading1"/>
      <w:suff w:val="space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1134"/>
        </w:tabs>
        <w:ind w:left="1134" w:hanging="992"/>
      </w:pPr>
      <w:rPr>
        <w:rFonts w:hint="default"/>
      </w:rPr>
    </w:lvl>
    <w:lvl w:ilvl="2">
      <w:start w:val="1"/>
      <w:numFmt w:val="decimal"/>
      <w:lvlRestart w:val="1"/>
      <w:pStyle w:val="AppendixTablecaption"/>
      <w:suff w:val="space"/>
      <w:lvlText w:val="Table %1.%3"/>
      <w:lvlJc w:val="center"/>
      <w:pPr>
        <w:ind w:left="0" w:firstLine="454"/>
      </w:pPr>
      <w:rPr>
        <w:rFonts w:hint="default"/>
      </w:rPr>
    </w:lvl>
    <w:lvl w:ilvl="3">
      <w:start w:val="1"/>
      <w:numFmt w:val="decimal"/>
      <w:lvlRestart w:val="1"/>
      <w:pStyle w:val="AppendixFigurecaption"/>
      <w:suff w:val="space"/>
      <w:lvlText w:val="Figure %1.%4"/>
      <w:lvlJc w:val="center"/>
      <w:pPr>
        <w:ind w:left="0" w:firstLine="454"/>
      </w:pPr>
      <w:rPr>
        <w:rFonts w:hint="default"/>
      </w:rPr>
    </w:lvl>
    <w:lvl w:ilvl="4">
      <w:start w:val="1"/>
      <w:numFmt w:val="decimal"/>
      <w:lvlRestart w:val="2"/>
      <w:pStyle w:val="Appendixnumberedpara"/>
      <w:lvlText w:val="%1.%2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C5A"/>
    <w:rsid w:val="00850528"/>
    <w:rsid w:val="00D612BB"/>
    <w:rsid w:val="00E41C5A"/>
    <w:rsid w:val="00F2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65DB9"/>
  <w15:docId w15:val="{5AFFEE6C-DC75-42E9-887A-DCF9D3F4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C5A"/>
    <w:pPr>
      <w:spacing w:after="0" w:line="240" w:lineRule="auto"/>
    </w:pPr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C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C5A"/>
  </w:style>
  <w:style w:type="paragraph" w:styleId="Footer">
    <w:name w:val="footer"/>
    <w:basedOn w:val="Normal"/>
    <w:link w:val="FooterChar"/>
    <w:uiPriority w:val="99"/>
    <w:unhideWhenUsed/>
    <w:rsid w:val="00E41C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C5A"/>
  </w:style>
  <w:style w:type="paragraph" w:customStyle="1" w:styleId="DocRef">
    <w:name w:val="DocRef"/>
    <w:basedOn w:val="BodyText"/>
    <w:next w:val="BodyText"/>
    <w:rsid w:val="00E41C5A"/>
    <w:pPr>
      <w:spacing w:after="0"/>
      <w:jc w:val="right"/>
    </w:pPr>
    <w:rPr>
      <w:rFonts w:eastAsia="Times New Roman" w:cs="Arial"/>
      <w:b/>
      <w:sz w:val="18"/>
      <w:szCs w:val="18"/>
    </w:rPr>
  </w:style>
  <w:style w:type="paragraph" w:customStyle="1" w:styleId="DocComplianceDate">
    <w:name w:val="DocComplianceDate"/>
    <w:basedOn w:val="BodyText"/>
    <w:next w:val="BodyText"/>
    <w:rsid w:val="00E41C5A"/>
    <w:pPr>
      <w:spacing w:after="0"/>
      <w:jc w:val="right"/>
    </w:pPr>
    <w:rPr>
      <w:rFonts w:eastAsia="Times New Roman"/>
      <w:sz w:val="18"/>
      <w:szCs w:val="20"/>
    </w:rPr>
  </w:style>
  <w:style w:type="paragraph" w:customStyle="1" w:styleId="DocIssueNo">
    <w:name w:val="DocIssueNo"/>
    <w:basedOn w:val="BodyText"/>
    <w:next w:val="BodyText"/>
    <w:rsid w:val="00E41C5A"/>
    <w:pPr>
      <w:spacing w:after="0"/>
      <w:jc w:val="right"/>
    </w:pPr>
    <w:rPr>
      <w:rFonts w:eastAsia="Times New Roman"/>
      <w:sz w:val="18"/>
      <w:szCs w:val="24"/>
    </w:rPr>
  </w:style>
  <w:style w:type="paragraph" w:customStyle="1" w:styleId="DocIssueDate">
    <w:name w:val="DocIssueDate"/>
    <w:basedOn w:val="BodyText"/>
    <w:next w:val="BodyText"/>
    <w:rsid w:val="00E41C5A"/>
    <w:pPr>
      <w:spacing w:after="0"/>
      <w:jc w:val="right"/>
    </w:pPr>
    <w:rPr>
      <w:rFonts w:eastAsia="Times New Roman"/>
      <w:sz w:val="18"/>
      <w:szCs w:val="24"/>
    </w:rPr>
  </w:style>
  <w:style w:type="paragraph" w:customStyle="1" w:styleId="HeaderTable">
    <w:name w:val="Header Table"/>
    <w:basedOn w:val="BodyText"/>
    <w:rsid w:val="00E41C5A"/>
    <w:pPr>
      <w:spacing w:after="0"/>
    </w:pPr>
    <w:rPr>
      <w:rFonts w:eastAsia="Times New Roman"/>
      <w:sz w:val="18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E41C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1C5A"/>
  </w:style>
  <w:style w:type="paragraph" w:customStyle="1" w:styleId="AppendixHeading2">
    <w:name w:val="Appendix Heading 2"/>
    <w:basedOn w:val="AppendixHeading1"/>
    <w:next w:val="Appendixnumberedpara"/>
    <w:qFormat/>
    <w:rsid w:val="00E41C5A"/>
    <w:pPr>
      <w:numPr>
        <w:ilvl w:val="1"/>
      </w:numPr>
      <w:tabs>
        <w:tab w:val="clear" w:pos="1134"/>
        <w:tab w:val="num" w:pos="360"/>
      </w:tabs>
      <w:spacing w:after="240"/>
      <w:ind w:left="992"/>
    </w:pPr>
  </w:style>
  <w:style w:type="character" w:customStyle="1" w:styleId="AppendixHeading1Char">
    <w:name w:val="Appendix Heading 1 Char"/>
    <w:link w:val="AppendixHeading1"/>
    <w:rsid w:val="00E41C5A"/>
    <w:rPr>
      <w:rFonts w:ascii="Arial" w:hAnsi="Arial"/>
      <w:b/>
      <w:color w:val="005172"/>
      <w:sz w:val="28"/>
    </w:rPr>
  </w:style>
  <w:style w:type="paragraph" w:customStyle="1" w:styleId="AppendixHeading1">
    <w:name w:val="Appendix Heading 1"/>
    <w:basedOn w:val="BodyText"/>
    <w:next w:val="BodyText"/>
    <w:link w:val="AppendixHeading1Char"/>
    <w:qFormat/>
    <w:rsid w:val="00E41C5A"/>
    <w:pPr>
      <w:keepNext/>
      <w:numPr>
        <w:numId w:val="1"/>
      </w:numPr>
      <w:spacing w:before="240" w:after="360"/>
    </w:pPr>
    <w:rPr>
      <w:b/>
      <w:color w:val="005172"/>
      <w:sz w:val="28"/>
    </w:rPr>
  </w:style>
  <w:style w:type="paragraph" w:customStyle="1" w:styleId="AppendixTablecaption">
    <w:name w:val="Appendix Table caption"/>
    <w:next w:val="BodyText"/>
    <w:qFormat/>
    <w:rsid w:val="00E41C5A"/>
    <w:pPr>
      <w:numPr>
        <w:ilvl w:val="2"/>
        <w:numId w:val="1"/>
      </w:numPr>
      <w:spacing w:before="120" w:after="120"/>
      <w:jc w:val="center"/>
    </w:pPr>
    <w:rPr>
      <w:rFonts w:ascii="Arial" w:eastAsia="Calibri" w:hAnsi="Arial" w:cs="Times New Roman"/>
      <w:b/>
    </w:rPr>
  </w:style>
  <w:style w:type="paragraph" w:customStyle="1" w:styleId="AppendixFigurecaption">
    <w:name w:val="Appendix Figure caption"/>
    <w:basedOn w:val="AppendixTablecaption"/>
    <w:next w:val="BodyText"/>
    <w:qFormat/>
    <w:rsid w:val="00E41C5A"/>
    <w:pPr>
      <w:numPr>
        <w:ilvl w:val="3"/>
      </w:numPr>
    </w:pPr>
  </w:style>
  <w:style w:type="paragraph" w:customStyle="1" w:styleId="Appendixnumberedpara">
    <w:name w:val="Appendix numbered para"/>
    <w:basedOn w:val="BodyText"/>
    <w:qFormat/>
    <w:rsid w:val="00E41C5A"/>
    <w:pPr>
      <w:numPr>
        <w:ilvl w:val="4"/>
        <w:numId w:val="1"/>
      </w:numPr>
    </w:pPr>
  </w:style>
  <w:style w:type="paragraph" w:customStyle="1" w:styleId="Appendixsubheading">
    <w:name w:val="Appendix subheading"/>
    <w:basedOn w:val="Normal"/>
    <w:next w:val="Appendixnumberedpara"/>
    <w:qFormat/>
    <w:rsid w:val="00E41C5A"/>
    <w:pPr>
      <w:keepNext/>
      <w:spacing w:before="240" w:after="120"/>
      <w:ind w:left="992"/>
    </w:pPr>
    <w:rPr>
      <w:b/>
    </w:rPr>
  </w:style>
  <w:style w:type="character" w:styleId="CommentReference">
    <w:name w:val="annotation reference"/>
    <w:uiPriority w:val="99"/>
    <w:semiHidden/>
    <w:unhideWhenUsed/>
    <w:rsid w:val="00E41C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C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C5A"/>
    <w:rPr>
      <w:rFonts w:ascii="Arial" w:eastAsia="Calibri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C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C5A"/>
    <w:rPr>
      <w:rFonts w:ascii="Tahoma" w:eastAsia="Calibri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41C5A"/>
    <w:rPr>
      <w:rFonts w:eastAsiaTheme="minorHAnsi" w:cs="Consolas"/>
      <w:color w:val="000000" w:themeColor="text1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41C5A"/>
    <w:rPr>
      <w:rFonts w:ascii="Arial" w:hAnsi="Arial" w:cs="Consolas"/>
      <w:color w:val="000000" w:themeColor="text1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0DD804A54794F880163C844C00358" ma:contentTypeVersion="13" ma:contentTypeDescription="Create a new document." ma:contentTypeScope="" ma:versionID="888f47a0fb04fe20551852e3ae66181d">
  <xsd:schema xmlns:xsd="http://www.w3.org/2001/XMLSchema" xmlns:xs="http://www.w3.org/2001/XMLSchema" xmlns:p="http://schemas.microsoft.com/office/2006/metadata/properties" xmlns:ns3="50013467-5336-4149-9ce5-d274f61a4d82" xmlns:ns4="b995f42f-4628-4438-b95e-53066acc858a" targetNamespace="http://schemas.microsoft.com/office/2006/metadata/properties" ma:root="true" ma:fieldsID="4ed8dc01afb68a271e0a0300f8238804" ns3:_="" ns4:_="">
    <xsd:import namespace="50013467-5336-4149-9ce5-d274f61a4d82"/>
    <xsd:import namespace="b995f42f-4628-4438-b95e-53066acc85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13467-5336-4149-9ce5-d274f61a4d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f42f-4628-4438-b95e-53066acc85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90CDCE-9027-4231-8515-74C7B093B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13467-5336-4149-9ce5-d274f61a4d82"/>
    <ds:schemaRef ds:uri="b995f42f-4628-4438-b95e-53066acc8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E5A894-C3BD-42FB-8782-F1866517D7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84D0EB-18E0-4513-AB3B-4601138896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Network Rail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Perry</dc:creator>
  <cp:lastModifiedBy>Boland Michelle</cp:lastModifiedBy>
  <cp:revision>2</cp:revision>
  <dcterms:created xsi:type="dcterms:W3CDTF">2020-09-29T10:24:00Z</dcterms:created>
  <dcterms:modified xsi:type="dcterms:W3CDTF">2020-09-29T10:24:00Z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577031b-11bc-4db9-b655-7d79027ad570_Enabled">
    <vt:lpwstr>true</vt:lpwstr>
  </property>
  <property fmtid="{D5CDD505-2E9C-101B-9397-08002B2CF9AE}" pid="3" name="MSIP_Label_8577031b-11bc-4db9-b655-7d79027ad570_SetDate">
    <vt:lpwstr>2020-09-29T10:24:17Z</vt:lpwstr>
  </property>
  <property fmtid="{D5CDD505-2E9C-101B-9397-08002B2CF9AE}" pid="4" name="MSIP_Label_8577031b-11bc-4db9-b655-7d79027ad570_Method">
    <vt:lpwstr>Standard</vt:lpwstr>
  </property>
  <property fmtid="{D5CDD505-2E9C-101B-9397-08002B2CF9AE}" pid="5" name="MSIP_Label_8577031b-11bc-4db9-b655-7d79027ad570_Name">
    <vt:lpwstr>8577031b-11bc-4db9-b655-7d79027ad570</vt:lpwstr>
  </property>
  <property fmtid="{D5CDD505-2E9C-101B-9397-08002B2CF9AE}" pid="6" name="MSIP_Label_8577031b-11bc-4db9-b655-7d79027ad570_SiteId">
    <vt:lpwstr>c22cc3e1-5d7f-4f4d-be03-d5a158cc9409</vt:lpwstr>
  </property>
  <property fmtid="{D5CDD505-2E9C-101B-9397-08002B2CF9AE}" pid="7" name="MSIP_Label_8577031b-11bc-4db9-b655-7d79027ad570_ActionId">
    <vt:lpwstr>10131282-5879-4cab-9660-6c0525a7725d</vt:lpwstr>
  </property>
  <property fmtid="{D5CDD505-2E9C-101B-9397-08002B2CF9AE}" pid="8" name="MSIP_Label_8577031b-11bc-4db9-b655-7d79027ad570_ContentBits">
    <vt:lpwstr>1</vt:lpwstr>
  </property>
  <property fmtid="{D5CDD505-2E9C-101B-9397-08002B2CF9AE}" pid="9" name="ContentTypeId">
    <vt:lpwstr>0x0101005A90DD804A54794F880163C844C00358</vt:lpwstr>
  </property>
</Properties>
</file>