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27" w:rsidRDefault="00C41E27" w:rsidP="00C41E27">
      <w:pPr>
        <w:pStyle w:val="Heading2"/>
        <w:numPr>
          <w:ilvl w:val="0"/>
          <w:numId w:val="0"/>
        </w:numPr>
      </w:pPr>
      <w:bookmarkStart w:id="0" w:name="_Toc380076186"/>
      <w:bookmarkStart w:id="1" w:name="_Ref371093079"/>
      <w:bookmarkStart w:id="2" w:name="_Ref374697110"/>
      <w:r w:rsidRPr="008855C7">
        <w:t>J</w:t>
      </w:r>
      <w:bookmarkStart w:id="3" w:name="_GoBack"/>
      <w:bookmarkEnd w:id="3"/>
      <w:r w:rsidRPr="008855C7">
        <w:t>ustification</w:t>
      </w:r>
      <w:r>
        <w:t xml:space="preserve"> report for sourcing non third-party certified timber</w:t>
      </w:r>
      <w:bookmarkEnd w:id="0"/>
    </w:p>
    <w:p w:rsidR="00C41E27" w:rsidRDefault="00C41E27" w:rsidP="00C41E27">
      <w:pPr>
        <w:spacing w:line="280" w:lineRule="atLeast"/>
        <w:jc w:val="both"/>
      </w:pPr>
    </w:p>
    <w:p w:rsidR="00C41E27" w:rsidRDefault="00C41E27" w:rsidP="00C41E27">
      <w:pPr>
        <w:autoSpaceDE w:val="0"/>
        <w:autoSpaceDN w:val="0"/>
        <w:adjustRightInd w:val="0"/>
        <w:spacing w:line="280" w:lineRule="atLeast"/>
        <w:rPr>
          <w:rFonts w:asciiTheme="minorHAnsi" w:hAnsiTheme="minorHAnsi" w:cs="Arial"/>
          <w:b/>
          <w:bCs/>
          <w:iCs/>
          <w:color w:val="00809E"/>
          <w:sz w:val="28"/>
          <w:szCs w:val="28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DF325" wp14:editId="3AB5A17E">
                <wp:simplePos x="0" y="0"/>
                <wp:positionH relativeFrom="column">
                  <wp:posOffset>-133350</wp:posOffset>
                </wp:positionH>
                <wp:positionV relativeFrom="paragraph">
                  <wp:posOffset>23495</wp:posOffset>
                </wp:positionV>
                <wp:extent cx="6515100" cy="1933575"/>
                <wp:effectExtent l="9525" t="13970" r="9525" b="5080"/>
                <wp:wrapNone/>
                <wp:docPr id="472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E27" w:rsidRDefault="00C41E27" w:rsidP="00C41E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DETAILS</w:t>
                            </w:r>
                          </w:p>
                          <w:p w:rsidR="00C41E27" w:rsidRPr="00847025" w:rsidRDefault="00C41E27" w:rsidP="00C41E2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70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Contractor: </w:t>
                            </w:r>
                          </w:p>
                          <w:p w:rsidR="00C41E27" w:rsidRPr="00847025" w:rsidRDefault="00C41E27" w:rsidP="00C41E2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70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Work Package: </w:t>
                            </w:r>
                          </w:p>
                          <w:p w:rsidR="00C41E27" w:rsidRPr="00847025" w:rsidRDefault="00C41E27" w:rsidP="00C41E2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70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Timber product: </w:t>
                            </w:r>
                          </w:p>
                          <w:p w:rsidR="00C41E27" w:rsidRPr="00847025" w:rsidRDefault="00C41E27" w:rsidP="00C41E2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70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Timber type: </w:t>
                            </w:r>
                          </w:p>
                          <w:p w:rsidR="00C41E27" w:rsidRPr="00847025" w:rsidRDefault="00C41E27" w:rsidP="00C41E2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70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Timber specie: </w:t>
                            </w:r>
                          </w:p>
                          <w:p w:rsidR="00C41E27" w:rsidRPr="00847025" w:rsidRDefault="00C41E27" w:rsidP="00C41E2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70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Country of origin: </w:t>
                            </w:r>
                          </w:p>
                          <w:p w:rsidR="00C41E27" w:rsidRPr="00847025" w:rsidRDefault="00C41E27" w:rsidP="00C41E2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70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Quantity (tonnage): </w:t>
                            </w:r>
                          </w:p>
                          <w:p w:rsidR="00C41E27" w:rsidRPr="00847025" w:rsidRDefault="00C41E27" w:rsidP="00C41E2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470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Value: </w:t>
                            </w:r>
                          </w:p>
                          <w:p w:rsidR="00C41E27" w:rsidRDefault="00C41E27" w:rsidP="00C41E27">
                            <w:r w:rsidRPr="0084702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Timber Supplier: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6" o:spid="_x0000_s1026" type="#_x0000_t202" style="position:absolute;margin-left:-10.5pt;margin-top:1.85pt;width:513pt;height:15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">
                <v:textbox>
                  <w:txbxContent>
                    <w:p w:rsidR="00C41E27" w:rsidRDefault="00C41E27" w:rsidP="00C41E2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DETAILS</w:t>
                      </w:r>
                    </w:p>
                    <w:p w:rsidR="00C41E27" w:rsidRPr="00847025" w:rsidRDefault="00C41E27" w:rsidP="00C41E2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47025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Contractor: </w:t>
                      </w:r>
                    </w:p>
                    <w:p w:rsidR="00C41E27" w:rsidRPr="00847025" w:rsidRDefault="00C41E27" w:rsidP="00C41E2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47025">
                        <w:rPr>
                          <w:b/>
                          <w:bCs/>
                          <w:sz w:val="22"/>
                          <w:szCs w:val="22"/>
                        </w:rPr>
                        <w:t xml:space="preserve">Work Package: </w:t>
                      </w:r>
                    </w:p>
                    <w:p w:rsidR="00C41E27" w:rsidRPr="00847025" w:rsidRDefault="00C41E27" w:rsidP="00C41E2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47025">
                        <w:rPr>
                          <w:b/>
                          <w:bCs/>
                          <w:sz w:val="22"/>
                          <w:szCs w:val="22"/>
                        </w:rPr>
                        <w:t xml:space="preserve">Timber product: </w:t>
                      </w:r>
                    </w:p>
                    <w:p w:rsidR="00C41E27" w:rsidRPr="00847025" w:rsidRDefault="00C41E27" w:rsidP="00C41E2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47025">
                        <w:rPr>
                          <w:b/>
                          <w:bCs/>
                          <w:sz w:val="22"/>
                          <w:szCs w:val="22"/>
                        </w:rPr>
                        <w:t xml:space="preserve">Timber type: </w:t>
                      </w:r>
                    </w:p>
                    <w:p w:rsidR="00C41E27" w:rsidRPr="00847025" w:rsidRDefault="00C41E27" w:rsidP="00C41E2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47025">
                        <w:rPr>
                          <w:b/>
                          <w:bCs/>
                          <w:sz w:val="22"/>
                          <w:szCs w:val="22"/>
                        </w:rPr>
                        <w:t xml:space="preserve">Timber specie: </w:t>
                      </w:r>
                    </w:p>
                    <w:p w:rsidR="00C41E27" w:rsidRPr="00847025" w:rsidRDefault="00C41E27" w:rsidP="00C41E2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47025">
                        <w:rPr>
                          <w:b/>
                          <w:bCs/>
                          <w:sz w:val="22"/>
                          <w:szCs w:val="22"/>
                        </w:rPr>
                        <w:t xml:space="preserve">Country of origin: </w:t>
                      </w:r>
                    </w:p>
                    <w:p w:rsidR="00C41E27" w:rsidRPr="00847025" w:rsidRDefault="00C41E27" w:rsidP="00C41E2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47025">
                        <w:rPr>
                          <w:b/>
                          <w:bCs/>
                          <w:sz w:val="22"/>
                          <w:szCs w:val="22"/>
                        </w:rPr>
                        <w:t xml:space="preserve">Quantity (tonnage): </w:t>
                      </w:r>
                    </w:p>
                    <w:p w:rsidR="00C41E27" w:rsidRPr="00847025" w:rsidRDefault="00C41E27" w:rsidP="00C41E2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47025">
                        <w:rPr>
                          <w:b/>
                          <w:bCs/>
                          <w:sz w:val="22"/>
                          <w:szCs w:val="22"/>
                        </w:rPr>
                        <w:t xml:space="preserve">Value: </w:t>
                      </w:r>
                    </w:p>
                    <w:p w:rsidR="00C41E27" w:rsidRDefault="00C41E27" w:rsidP="00C41E27">
                      <w:r w:rsidRPr="00847025">
                        <w:rPr>
                          <w:b/>
                          <w:bCs/>
                          <w:sz w:val="22"/>
                          <w:szCs w:val="22"/>
                        </w:rPr>
                        <w:t>Timber Supplier:</w:t>
                      </w:r>
                    </w:p>
                  </w:txbxContent>
                </v:textbox>
              </v:shape>
            </w:pict>
          </mc:Fallback>
        </mc:AlternateContent>
      </w: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012A73" wp14:editId="78C66925">
                <wp:simplePos x="0" y="0"/>
                <wp:positionH relativeFrom="column">
                  <wp:posOffset>-133350</wp:posOffset>
                </wp:positionH>
                <wp:positionV relativeFrom="paragraph">
                  <wp:posOffset>69850</wp:posOffset>
                </wp:positionV>
                <wp:extent cx="6515100" cy="2171700"/>
                <wp:effectExtent l="9525" t="12700" r="9525" b="6350"/>
                <wp:wrapNone/>
                <wp:docPr id="47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E27" w:rsidRDefault="00C41E27" w:rsidP="00C41E27">
                            <w:r w:rsidRPr="00847025">
                              <w:rPr>
                                <w:b/>
                                <w:bCs/>
                              </w:rPr>
                              <w:t xml:space="preserve">JUSTIFICATION </w:t>
                            </w:r>
                            <w:r>
                              <w:br/>
                              <w:t xml:space="preserve">Please describe the technical or health and safety reasons requiring to source non-compliant timber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27" type="#_x0000_t202" style="position:absolute;margin-left:-10.5pt;margin-top:5.5pt;width:513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">
                <v:textbox>
                  <w:txbxContent>
                    <w:p w:rsidR="00C41E27" w:rsidRDefault="00C41E27" w:rsidP="00C41E27">
                      <w:r w:rsidRPr="00847025">
                        <w:rPr>
                          <w:b/>
                          <w:bCs/>
                        </w:rPr>
                        <w:t xml:space="preserve">JUSTIFICATION </w:t>
                      </w:r>
                      <w:r>
                        <w:br/>
                        <w:t xml:space="preserve">Please describe the technical or health and safety reasons requiring to source non-compliant timber </w:t>
                      </w:r>
                    </w:p>
                  </w:txbxContent>
                </v:textbox>
              </v:shape>
            </w:pict>
          </mc:Fallback>
        </mc:AlternateContent>
      </w: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BCBBCE" wp14:editId="597DC858">
                <wp:simplePos x="0" y="0"/>
                <wp:positionH relativeFrom="column">
                  <wp:posOffset>-133350</wp:posOffset>
                </wp:positionH>
                <wp:positionV relativeFrom="paragraph">
                  <wp:posOffset>168275</wp:posOffset>
                </wp:positionV>
                <wp:extent cx="6515100" cy="1590675"/>
                <wp:effectExtent l="9525" t="6350" r="9525" b="12700"/>
                <wp:wrapNone/>
                <wp:docPr id="47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E27" w:rsidRDefault="00C41E27" w:rsidP="00C41E27">
                            <w:r w:rsidRPr="00847025">
                              <w:rPr>
                                <w:b/>
                                <w:bCs/>
                              </w:rPr>
                              <w:t>ALTERNATIVE SUPPLIERS INVESTIGATED</w:t>
                            </w:r>
                            <w:r w:rsidRPr="00847025"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 xml:space="preserve">Please state </w:t>
                            </w:r>
                            <w:r w:rsidRPr="00BE4E90">
                              <w:rPr>
                                <w:b/>
                                <w:u w:val="single"/>
                              </w:rPr>
                              <w:t>at least three</w:t>
                            </w:r>
                            <w:r>
                              <w:t xml:space="preserve"> alternative suppliers investigated and the reasons why they are not suitable.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28" type="#_x0000_t202" style="position:absolute;margin-left:-10.5pt;margin-top:13.25pt;width:513pt;height:1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">
                <v:textbox>
                  <w:txbxContent>
                    <w:p w:rsidR="00C41E27" w:rsidRDefault="00C41E27" w:rsidP="00C41E27">
                      <w:r w:rsidRPr="00847025">
                        <w:rPr>
                          <w:b/>
                          <w:bCs/>
                        </w:rPr>
                        <w:t>ALTERNATIVE SUPPLIERS INVESTIGATED</w:t>
                      </w:r>
                      <w:r w:rsidRPr="00847025">
                        <w:rPr>
                          <w:b/>
                          <w:bCs/>
                        </w:rPr>
                        <w:br/>
                      </w:r>
                      <w:r>
                        <w:t xml:space="preserve">Please state </w:t>
                      </w:r>
                      <w:r w:rsidRPr="00BE4E90">
                        <w:rPr>
                          <w:b/>
                          <w:u w:val="single"/>
                        </w:rPr>
                        <w:t>at least three</w:t>
                      </w:r>
                      <w:r>
                        <w:t xml:space="preserve"> alternative suppliers investigated and the reasons why they are not suitable. </w:t>
                      </w:r>
                    </w:p>
                  </w:txbxContent>
                </v:textbox>
              </v:shape>
            </w:pict>
          </mc:Fallback>
        </mc:AlternateContent>
      </w: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  <w:r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BB135" wp14:editId="294A24E8">
                <wp:simplePos x="0" y="0"/>
                <wp:positionH relativeFrom="column">
                  <wp:posOffset>-133350</wp:posOffset>
                </wp:positionH>
                <wp:positionV relativeFrom="paragraph">
                  <wp:posOffset>31750</wp:posOffset>
                </wp:positionV>
                <wp:extent cx="6515100" cy="2534285"/>
                <wp:effectExtent l="9525" t="12700" r="9525" b="5715"/>
                <wp:wrapNone/>
                <wp:docPr id="46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53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E27" w:rsidRDefault="00C41E27" w:rsidP="00C41E27">
                            <w:r w:rsidRPr="00847025">
                              <w:rPr>
                                <w:b/>
                                <w:bCs/>
                              </w:rPr>
                              <w:t>EVIDENCE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 w:rsidRPr="006A6F8F">
                              <w:t>List the evidence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11C9D">
                              <w:rPr>
                                <w:bCs/>
                              </w:rPr>
                              <w:t>to be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attached as appendices to this justification report to demonstrate that the timber either: </w:t>
                            </w:r>
                            <w:r>
                              <w:br/>
                            </w:r>
                            <w:r w:rsidRPr="006E6958">
                              <w:rPr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 w:rsidRPr="006E6958">
                              <w:rPr>
                                <w:b/>
                              </w:rPr>
                              <w:t>omplies with the requirements of the Due Diligence System (DDS) as defined under the European Timber Regulation (EUTR)</w:t>
                            </w:r>
                            <w:r>
                              <w:rPr>
                                <w:b/>
                              </w:rPr>
                              <w:t>.  Evidence includes</w:t>
                            </w:r>
                            <w:r w:rsidRPr="006E6958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     a. provision of a </w:t>
                            </w:r>
                            <w:r w:rsidRPr="007F787F">
                              <w:rPr>
                                <w:i/>
                              </w:rPr>
                              <w:t>Verification of Legal Compliance Certificate</w:t>
                            </w:r>
                            <w:r>
                              <w:t xml:space="preserve"> from a monitoring agency (i.e. </w:t>
                            </w:r>
                            <w:proofErr w:type="spellStart"/>
                            <w:r>
                              <w:t>NEPCon</w:t>
                            </w:r>
                            <w:proofErr w:type="spellEnd"/>
                            <w:r>
                              <w:t xml:space="preserve"> or </w:t>
                            </w:r>
                            <w:proofErr w:type="spellStart"/>
                            <w:r>
                              <w:t>Conlegno</w:t>
                            </w:r>
                            <w:proofErr w:type="spellEnd"/>
                            <w:r>
                              <w:t>) or</w:t>
                            </w:r>
                            <w:r>
                              <w:br/>
                              <w:t xml:space="preserve">     b. exhaustive list of evidence detailed overleaf</w:t>
                            </w:r>
                          </w:p>
                          <w:p w:rsidR="00C41E27" w:rsidRDefault="00C41E27" w:rsidP="00C41E27">
                            <w:proofErr w:type="gramStart"/>
                            <w:r w:rsidRPr="006E6958">
                              <w:rPr>
                                <w:b/>
                              </w:rPr>
                              <w:t>OR</w:t>
                            </w:r>
                            <w:r>
                              <w:br/>
                            </w:r>
                            <w:r w:rsidRPr="006E6958">
                              <w:rPr>
                                <w:b/>
                              </w:rPr>
                              <w:t>2.</w:t>
                            </w:r>
                            <w:proofErr w:type="gramEnd"/>
                            <w:r w:rsidRPr="006E695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D</w:t>
                            </w:r>
                            <w:r w:rsidRPr="006E6958">
                              <w:rPr>
                                <w:b/>
                              </w:rPr>
                              <w:t xml:space="preserve">oes not require </w:t>
                            </w:r>
                            <w:proofErr w:type="gramStart"/>
                            <w:r w:rsidRPr="006E6958">
                              <w:rPr>
                                <w:b/>
                              </w:rPr>
                              <w:t>to comply</w:t>
                            </w:r>
                            <w:proofErr w:type="gramEnd"/>
                            <w:r w:rsidRPr="006E6958">
                              <w:rPr>
                                <w:b/>
                              </w:rPr>
                              <w:t xml:space="preserve"> with DDS requirements</w:t>
                            </w:r>
                            <w:r>
                              <w:rPr>
                                <w:b/>
                              </w:rPr>
                              <w:t xml:space="preserve"> under EUTR. Evidence includes</w:t>
                            </w:r>
                            <w:r w:rsidRPr="006E6958">
                              <w:rPr>
                                <w:b/>
                              </w:rPr>
                              <w:t>:</w:t>
                            </w:r>
                            <w:r>
                              <w:br/>
                              <w:t xml:space="preserve">      a. CITES certificate or</w:t>
                            </w:r>
                            <w:r>
                              <w:br/>
                              <w:t xml:space="preserve">      b. FLGET certificate</w:t>
                            </w:r>
                          </w:p>
                          <w:p w:rsidR="00C41E27" w:rsidRDefault="00C41E27" w:rsidP="00C41E27"/>
                          <w:p w:rsidR="00C41E27" w:rsidRPr="00BC0C74" w:rsidRDefault="00C41E27" w:rsidP="00C41E27">
                            <w:pPr>
                              <w:spacing w:line="280" w:lineRule="atLeast"/>
                              <w:rPr>
                                <w:b/>
                                <w:u w:val="single"/>
                              </w:rPr>
                            </w:pPr>
                            <w:r w:rsidRPr="00BC0C74">
                              <w:rPr>
                                <w:b/>
                                <w:u w:val="single"/>
                              </w:rPr>
                              <w:t>In addition for high value, high profile items:</w:t>
                            </w:r>
                          </w:p>
                          <w:p w:rsidR="00C41E27" w:rsidRDefault="00C41E27" w:rsidP="00C41E27">
                            <w:pPr>
                              <w:spacing w:line="280" w:lineRule="atLeast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signed letter-headed document  from the supplier committing to achieve FSC certification at an agreed timeframe with Network Rail, the approach will be discussed with the Sustainable Business Strategy Team on a case by case basis. </w:t>
                            </w:r>
                          </w:p>
                          <w:p w:rsidR="00C41E27" w:rsidRPr="00847025" w:rsidRDefault="00C41E27" w:rsidP="00C41E2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29" type="#_x0000_t202" style="position:absolute;margin-left:-10.5pt;margin-top:2.5pt;width:513pt;height:19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">
                <v:textbox>
                  <w:txbxContent>
                    <w:p w:rsidR="00C41E27" w:rsidRDefault="00C41E27" w:rsidP="00C41E27">
                      <w:r w:rsidRPr="00847025">
                        <w:rPr>
                          <w:b/>
                          <w:bCs/>
                        </w:rPr>
                        <w:t>EVIDENCE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 w:rsidRPr="006A6F8F">
                        <w:t>List the evidence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D11C9D">
                        <w:rPr>
                          <w:bCs/>
                        </w:rPr>
                        <w:t>to be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attached as appendices to this justification report to demonstrate that the timber either: </w:t>
                      </w:r>
                      <w:r>
                        <w:br/>
                      </w:r>
                      <w:r w:rsidRPr="006E6958">
                        <w:rPr>
                          <w:b/>
                        </w:rPr>
                        <w:t xml:space="preserve">1. </w:t>
                      </w:r>
                      <w:r>
                        <w:rPr>
                          <w:b/>
                        </w:rPr>
                        <w:t>C</w:t>
                      </w:r>
                      <w:r w:rsidRPr="006E6958">
                        <w:rPr>
                          <w:b/>
                        </w:rPr>
                        <w:t>omplies with the requirements of the Due Diligence System (DDS) as defined under the European Timber Regulation (EUTR)</w:t>
                      </w:r>
                      <w:r>
                        <w:rPr>
                          <w:b/>
                        </w:rPr>
                        <w:t>.  Evidence includes</w:t>
                      </w:r>
                      <w:r w:rsidRPr="006E6958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>
                        <w:br/>
                        <w:t xml:space="preserve">     a. provision of a </w:t>
                      </w:r>
                      <w:r w:rsidRPr="007F787F">
                        <w:rPr>
                          <w:i/>
                        </w:rPr>
                        <w:t>Verification of Legal Compliance Certificate</w:t>
                      </w:r>
                      <w:r>
                        <w:t xml:space="preserve"> from a monitoring agency (i.e. </w:t>
                      </w:r>
                      <w:proofErr w:type="spellStart"/>
                      <w:r>
                        <w:t>NEPCon</w:t>
                      </w:r>
                      <w:proofErr w:type="spellEnd"/>
                      <w:r>
                        <w:t xml:space="preserve"> or </w:t>
                      </w:r>
                      <w:proofErr w:type="spellStart"/>
                      <w:r>
                        <w:t>Conlegno</w:t>
                      </w:r>
                      <w:proofErr w:type="spellEnd"/>
                      <w:r>
                        <w:t>) or</w:t>
                      </w:r>
                      <w:r>
                        <w:br/>
                        <w:t xml:space="preserve">     b. exhaustive list of evidence detailed overleaf</w:t>
                      </w:r>
                    </w:p>
                    <w:p w:rsidR="00C41E27" w:rsidRDefault="00C41E27" w:rsidP="00C41E27">
                      <w:proofErr w:type="gramStart"/>
                      <w:r w:rsidRPr="006E6958">
                        <w:rPr>
                          <w:b/>
                        </w:rPr>
                        <w:t>OR</w:t>
                      </w:r>
                      <w:r>
                        <w:br/>
                      </w:r>
                      <w:r w:rsidRPr="006E6958">
                        <w:rPr>
                          <w:b/>
                        </w:rPr>
                        <w:t>2.</w:t>
                      </w:r>
                      <w:proofErr w:type="gramEnd"/>
                      <w:r w:rsidRPr="006E695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D</w:t>
                      </w:r>
                      <w:r w:rsidRPr="006E6958">
                        <w:rPr>
                          <w:b/>
                        </w:rPr>
                        <w:t xml:space="preserve">oes not require </w:t>
                      </w:r>
                      <w:proofErr w:type="gramStart"/>
                      <w:r w:rsidRPr="006E6958">
                        <w:rPr>
                          <w:b/>
                        </w:rPr>
                        <w:t>to comply</w:t>
                      </w:r>
                      <w:proofErr w:type="gramEnd"/>
                      <w:r w:rsidRPr="006E6958">
                        <w:rPr>
                          <w:b/>
                        </w:rPr>
                        <w:t xml:space="preserve"> with DDS requirements</w:t>
                      </w:r>
                      <w:r>
                        <w:rPr>
                          <w:b/>
                        </w:rPr>
                        <w:t xml:space="preserve"> under EUTR. Evidence includes</w:t>
                      </w:r>
                      <w:r w:rsidRPr="006E6958">
                        <w:rPr>
                          <w:b/>
                        </w:rPr>
                        <w:t>:</w:t>
                      </w:r>
                      <w:r>
                        <w:br/>
                        <w:t xml:space="preserve">      a. CITES certificate or</w:t>
                      </w:r>
                      <w:r>
                        <w:br/>
                        <w:t xml:space="preserve">      b. FLGET certificate</w:t>
                      </w:r>
                    </w:p>
                    <w:p w:rsidR="00C41E27" w:rsidRDefault="00C41E27" w:rsidP="00C41E27"/>
                    <w:p w:rsidR="00C41E27" w:rsidRPr="00BC0C74" w:rsidRDefault="00C41E27" w:rsidP="00C41E27">
                      <w:pPr>
                        <w:spacing w:line="280" w:lineRule="atLeast"/>
                        <w:rPr>
                          <w:b/>
                          <w:u w:val="single"/>
                        </w:rPr>
                      </w:pPr>
                      <w:r w:rsidRPr="00BC0C74">
                        <w:rPr>
                          <w:b/>
                          <w:u w:val="single"/>
                        </w:rPr>
                        <w:t>In addition for high value, high profile items:</w:t>
                      </w:r>
                    </w:p>
                    <w:p w:rsidR="00C41E27" w:rsidRDefault="00C41E27" w:rsidP="00C41E27">
                      <w:pPr>
                        <w:spacing w:line="280" w:lineRule="atLeast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signed letter-headed document  from the supplier committing to achieve FSC certification at an agreed timeframe with Network Rail, the approach will be discussed with the Sustainable Business Strategy Team on a case by case basis. </w:t>
                      </w:r>
                    </w:p>
                    <w:p w:rsidR="00C41E27" w:rsidRPr="00847025" w:rsidRDefault="00C41E27" w:rsidP="00C41E2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Pr="00BE6587" w:rsidRDefault="00C41E27" w:rsidP="00C41E27">
      <w:pPr>
        <w:autoSpaceDE w:val="0"/>
        <w:autoSpaceDN w:val="0"/>
        <w:adjustRightInd w:val="0"/>
        <w:spacing w:line="280" w:lineRule="atLeast"/>
        <w:rPr>
          <w:rFonts w:cs="Arial"/>
          <w:szCs w:val="20"/>
        </w:rPr>
      </w:pPr>
    </w:p>
    <w:p w:rsidR="00C41E27" w:rsidRDefault="00C41E27" w:rsidP="00C41E27">
      <w:pPr>
        <w:pStyle w:val="NormalWeb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" w:eastAsia="en-GB"/>
        </w:rPr>
      </w:pPr>
    </w:p>
    <w:p w:rsidR="00C41E27" w:rsidRDefault="00C41E27" w:rsidP="00C41E27">
      <w:pPr>
        <w:pStyle w:val="NormalWeb"/>
        <w:rPr>
          <w:rStyle w:val="Strong"/>
          <w:u w:val="single"/>
        </w:rPr>
      </w:pPr>
    </w:p>
    <w:p w:rsidR="00C41E27" w:rsidRPr="00835950" w:rsidRDefault="00C41E27" w:rsidP="00C41E27">
      <w:r w:rsidRPr="00835950">
        <w:t>This section detailed the exhaustive list of evidence that demonstrate that a Due Diligence System (DDS)</w:t>
      </w:r>
      <w:r>
        <w:rPr>
          <w:rStyle w:val="FootnoteReference"/>
          <w:bCs/>
        </w:rPr>
        <w:footnoteReference w:id="1"/>
      </w:r>
      <w:r w:rsidRPr="00835950">
        <w:t xml:space="preserve"> is set up and implemented: </w:t>
      </w:r>
    </w:p>
    <w:p w:rsidR="00C41E27" w:rsidRDefault="00C41E27" w:rsidP="00C41E27">
      <w:pPr>
        <w:rPr>
          <w:b/>
        </w:rPr>
      </w:pPr>
    </w:p>
    <w:p w:rsidR="00C41E27" w:rsidRPr="002423D9" w:rsidRDefault="00C41E27" w:rsidP="00C41E27">
      <w:pPr>
        <w:pStyle w:val="ListParagraph"/>
        <w:numPr>
          <w:ilvl w:val="0"/>
          <w:numId w:val="10"/>
        </w:numPr>
        <w:ind w:left="284" w:hanging="284"/>
        <w:rPr>
          <w:b/>
          <w:szCs w:val="20"/>
          <w:lang w:val="en"/>
        </w:rPr>
      </w:pPr>
      <w:r w:rsidRPr="002423D9">
        <w:rPr>
          <w:b/>
          <w:szCs w:val="20"/>
          <w:lang w:val="en"/>
        </w:rPr>
        <w:t xml:space="preserve">Copy of the DDS manual which must include the following as a minimum: </w:t>
      </w:r>
    </w:p>
    <w:p w:rsidR="00C41E27" w:rsidRPr="002423D9" w:rsidRDefault="00C41E27" w:rsidP="00C41E27">
      <w:pPr>
        <w:pStyle w:val="ListParagraph"/>
        <w:numPr>
          <w:ilvl w:val="0"/>
          <w:numId w:val="9"/>
        </w:numPr>
      </w:pPr>
      <w:r w:rsidRPr="002423D9">
        <w:t>Scope of the DDS and written procedure</w:t>
      </w:r>
    </w:p>
    <w:p w:rsidR="00C41E27" w:rsidRPr="002423D9" w:rsidRDefault="00C41E27" w:rsidP="00C41E27">
      <w:pPr>
        <w:pStyle w:val="ListParagraph"/>
        <w:numPr>
          <w:ilvl w:val="0"/>
          <w:numId w:val="9"/>
        </w:numPr>
      </w:pPr>
      <w:r w:rsidRPr="002423D9">
        <w:t xml:space="preserve">Clearly detailed responsibilities </w:t>
      </w:r>
    </w:p>
    <w:p w:rsidR="00C41E27" w:rsidRPr="002423D9" w:rsidRDefault="00C41E27" w:rsidP="00C41E27">
      <w:pPr>
        <w:pStyle w:val="ListParagraph"/>
        <w:numPr>
          <w:ilvl w:val="0"/>
          <w:numId w:val="9"/>
        </w:numPr>
      </w:pPr>
      <w:r w:rsidRPr="002423D9">
        <w:t xml:space="preserve">Staff training requirements </w:t>
      </w:r>
    </w:p>
    <w:p w:rsidR="00C41E27" w:rsidRPr="002423D9" w:rsidRDefault="00C41E27" w:rsidP="00C41E27">
      <w:pPr>
        <w:pStyle w:val="ListParagraph"/>
        <w:numPr>
          <w:ilvl w:val="0"/>
          <w:numId w:val="9"/>
        </w:numPr>
      </w:pPr>
      <w:r w:rsidRPr="002423D9">
        <w:t>Performance monitoring requirements</w:t>
      </w:r>
    </w:p>
    <w:p w:rsidR="00C41E27" w:rsidRPr="002423D9" w:rsidRDefault="00C41E27" w:rsidP="00C41E27">
      <w:pPr>
        <w:pStyle w:val="ListParagraph"/>
        <w:numPr>
          <w:ilvl w:val="0"/>
          <w:numId w:val="9"/>
        </w:numPr>
        <w:rPr>
          <w:lang w:val="en"/>
        </w:rPr>
      </w:pPr>
      <w:r w:rsidRPr="002423D9">
        <w:t xml:space="preserve">Timber sourcing policy </w:t>
      </w:r>
      <w:r w:rsidRPr="008D782A">
        <w:br/>
      </w:r>
    </w:p>
    <w:p w:rsidR="00C41E27" w:rsidRPr="002423D9" w:rsidRDefault="00C41E27" w:rsidP="00C41E27">
      <w:pPr>
        <w:pStyle w:val="ListParagraph"/>
        <w:numPr>
          <w:ilvl w:val="0"/>
          <w:numId w:val="10"/>
        </w:numPr>
        <w:ind w:left="284" w:hanging="284"/>
        <w:rPr>
          <w:b/>
          <w:szCs w:val="20"/>
          <w:lang w:val="en"/>
        </w:rPr>
      </w:pPr>
      <w:r w:rsidRPr="002423D9">
        <w:rPr>
          <w:b/>
          <w:szCs w:val="20"/>
          <w:lang w:val="en"/>
        </w:rPr>
        <w:t>“Access to Information” evidence:</w:t>
      </w:r>
    </w:p>
    <w:p w:rsidR="00C41E27" w:rsidRPr="002423D9" w:rsidRDefault="00C41E27" w:rsidP="00C41E27">
      <w:pPr>
        <w:pStyle w:val="ListParagraph"/>
        <w:numPr>
          <w:ilvl w:val="0"/>
          <w:numId w:val="9"/>
        </w:numPr>
      </w:pPr>
      <w:r w:rsidRPr="002423D9">
        <w:t>description (including the trade name, type of product and common name/full scientific name of species);</w:t>
      </w:r>
    </w:p>
    <w:p w:rsidR="00C41E27" w:rsidRPr="002423D9" w:rsidRDefault="00C41E27" w:rsidP="00C41E27">
      <w:pPr>
        <w:pStyle w:val="ListParagraph"/>
        <w:numPr>
          <w:ilvl w:val="0"/>
          <w:numId w:val="9"/>
        </w:numPr>
      </w:pPr>
      <w:r w:rsidRPr="002423D9">
        <w:t>country of harvest (and, if applicable, region of harvest, as well as the concession of harvest – i.e. any arrangement conferring the right to harvest timber in a defined area);</w:t>
      </w:r>
    </w:p>
    <w:p w:rsidR="00C41E27" w:rsidRPr="002423D9" w:rsidRDefault="00C41E27" w:rsidP="00C41E27">
      <w:pPr>
        <w:pStyle w:val="ListParagraph"/>
        <w:numPr>
          <w:ilvl w:val="0"/>
          <w:numId w:val="9"/>
        </w:numPr>
      </w:pPr>
      <w:r w:rsidRPr="002423D9">
        <w:t>quantity (expressed in volume, weight or number of units);</w:t>
      </w:r>
    </w:p>
    <w:p w:rsidR="00C41E27" w:rsidRPr="002423D9" w:rsidRDefault="00C41E27" w:rsidP="00C41E27">
      <w:pPr>
        <w:pStyle w:val="ListParagraph"/>
        <w:numPr>
          <w:ilvl w:val="0"/>
          <w:numId w:val="9"/>
        </w:numPr>
      </w:pPr>
      <w:r w:rsidRPr="002423D9">
        <w:t>name and address of the supplier to the operator;</w:t>
      </w:r>
    </w:p>
    <w:p w:rsidR="00C41E27" w:rsidRPr="002423D9" w:rsidRDefault="00C41E27" w:rsidP="00C41E27">
      <w:pPr>
        <w:pStyle w:val="ListParagraph"/>
        <w:numPr>
          <w:ilvl w:val="0"/>
          <w:numId w:val="9"/>
        </w:numPr>
      </w:pPr>
      <w:r w:rsidRPr="002423D9">
        <w:t>name and address of the buyer (trader) who purchases the timber;</w:t>
      </w:r>
    </w:p>
    <w:p w:rsidR="00C41E27" w:rsidRPr="00FE1AFC" w:rsidRDefault="00C41E27" w:rsidP="00C41E27">
      <w:pPr>
        <w:pStyle w:val="ListParagraph"/>
        <w:numPr>
          <w:ilvl w:val="0"/>
          <w:numId w:val="9"/>
        </w:numPr>
        <w:rPr>
          <w:szCs w:val="20"/>
          <w:lang w:val="en"/>
        </w:rPr>
      </w:pPr>
      <w:proofErr w:type="gramStart"/>
      <w:r w:rsidRPr="002423D9">
        <w:t>documents</w:t>
      </w:r>
      <w:proofErr w:type="gramEnd"/>
      <w:r w:rsidRPr="002423D9">
        <w:t xml:space="preserve"> or other information indicating legal compliance. This includes [ref table 4]:</w:t>
      </w:r>
      <w:r w:rsidRPr="00FE1AFC">
        <w:rPr>
          <w:szCs w:val="20"/>
          <w:lang w:val="en"/>
        </w:rPr>
        <w:br/>
        <w:t xml:space="preserve">- Rights to harvest timber within legally </w:t>
      </w:r>
      <w:proofErr w:type="spellStart"/>
      <w:r w:rsidRPr="00FE1AFC">
        <w:rPr>
          <w:szCs w:val="20"/>
          <w:lang w:val="en"/>
        </w:rPr>
        <w:t>gazetted</w:t>
      </w:r>
      <w:proofErr w:type="spellEnd"/>
      <w:r w:rsidRPr="00FE1AFC">
        <w:rPr>
          <w:szCs w:val="20"/>
          <w:lang w:val="en"/>
        </w:rPr>
        <w:t xml:space="preserve"> boundaries,</w:t>
      </w:r>
    </w:p>
    <w:p w:rsidR="00C41E27" w:rsidRPr="00FE1AFC" w:rsidRDefault="00C41E27" w:rsidP="00C41E27">
      <w:pPr>
        <w:ind w:left="709"/>
        <w:rPr>
          <w:szCs w:val="20"/>
          <w:lang w:val="en"/>
        </w:rPr>
      </w:pPr>
      <w:r w:rsidRPr="00FE1AFC">
        <w:rPr>
          <w:szCs w:val="20"/>
          <w:lang w:val="en"/>
        </w:rPr>
        <w:t>- Payments for harvest rights and timber including duties related to timber harvesting,</w:t>
      </w:r>
    </w:p>
    <w:p w:rsidR="00C41E27" w:rsidRPr="00FE1AFC" w:rsidRDefault="00C41E27" w:rsidP="00C41E27">
      <w:pPr>
        <w:ind w:left="709"/>
        <w:rPr>
          <w:szCs w:val="20"/>
          <w:lang w:val="en"/>
        </w:rPr>
      </w:pPr>
      <w:r w:rsidRPr="00FE1AFC">
        <w:rPr>
          <w:szCs w:val="20"/>
          <w:lang w:val="en"/>
        </w:rPr>
        <w:t>- Timber harvesting, including environmental and forest legislation including forest management and</w:t>
      </w:r>
    </w:p>
    <w:p w:rsidR="00C41E27" w:rsidRPr="00FE1AFC" w:rsidRDefault="00C41E27" w:rsidP="00C41E27">
      <w:pPr>
        <w:ind w:left="851"/>
        <w:rPr>
          <w:szCs w:val="20"/>
          <w:lang w:val="en"/>
        </w:rPr>
      </w:pPr>
      <w:proofErr w:type="gramStart"/>
      <w:r w:rsidRPr="00FE1AFC">
        <w:rPr>
          <w:szCs w:val="20"/>
          <w:lang w:val="en"/>
        </w:rPr>
        <w:t>biodiversity</w:t>
      </w:r>
      <w:proofErr w:type="gramEnd"/>
      <w:r w:rsidRPr="00FE1AFC">
        <w:rPr>
          <w:szCs w:val="20"/>
          <w:lang w:val="en"/>
        </w:rPr>
        <w:t xml:space="preserve"> conservation, where directly related to timber harvesting,</w:t>
      </w:r>
    </w:p>
    <w:p w:rsidR="00C41E27" w:rsidRPr="00FE1AFC" w:rsidRDefault="00C41E27" w:rsidP="00C41E27">
      <w:pPr>
        <w:ind w:left="709"/>
        <w:rPr>
          <w:szCs w:val="20"/>
          <w:lang w:val="en"/>
        </w:rPr>
      </w:pPr>
      <w:r w:rsidRPr="00FE1AFC">
        <w:rPr>
          <w:szCs w:val="20"/>
          <w:lang w:val="en"/>
        </w:rPr>
        <w:t>- Third parties ' legal rights concerning use and tenure that are affected by timber harvesting, and</w:t>
      </w:r>
    </w:p>
    <w:p w:rsidR="00C41E27" w:rsidRPr="00FE1AFC" w:rsidRDefault="00C41E27" w:rsidP="00C41E27">
      <w:pPr>
        <w:ind w:left="709"/>
        <w:rPr>
          <w:szCs w:val="20"/>
          <w:lang w:val="en"/>
        </w:rPr>
      </w:pPr>
      <w:r w:rsidRPr="00FE1AFC">
        <w:rPr>
          <w:szCs w:val="20"/>
          <w:lang w:val="en"/>
        </w:rPr>
        <w:t>- Trade and customs, in so far as the forest sector is concerned.</w:t>
      </w:r>
    </w:p>
    <w:p w:rsidR="00C41E27" w:rsidRPr="00FE1AFC" w:rsidRDefault="00C41E27" w:rsidP="00C41E27">
      <w:pPr>
        <w:rPr>
          <w:szCs w:val="20"/>
          <w:lang w:val="en"/>
        </w:rPr>
      </w:pPr>
    </w:p>
    <w:p w:rsidR="00C41E27" w:rsidRDefault="00C41E27" w:rsidP="00C41E27"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- Evidence of legal requirements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701"/>
        <w:gridCol w:w="6237"/>
      </w:tblGrid>
      <w:tr w:rsidR="00C41E27" w:rsidRPr="004B459F" w:rsidTr="00E20C50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E27" w:rsidRPr="004B459F" w:rsidRDefault="00C41E27" w:rsidP="00E20C50">
            <w:pPr>
              <w:rPr>
                <w:b/>
                <w:color w:val="000000"/>
                <w:szCs w:val="20"/>
              </w:rPr>
            </w:pPr>
            <w:r w:rsidRPr="004B459F">
              <w:rPr>
                <w:b/>
                <w:color w:val="000000"/>
                <w:szCs w:val="20"/>
              </w:rPr>
              <w:t xml:space="preserve">Requirements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1E27" w:rsidRPr="004B459F" w:rsidRDefault="00C41E27" w:rsidP="00E20C50">
            <w:pPr>
              <w:rPr>
                <w:b/>
                <w:color w:val="000000"/>
                <w:szCs w:val="20"/>
              </w:rPr>
            </w:pPr>
            <w:r w:rsidRPr="004B459F">
              <w:rPr>
                <w:b/>
                <w:color w:val="000000"/>
                <w:szCs w:val="20"/>
              </w:rPr>
              <w:t xml:space="preserve">Concrete evidence type </w:t>
            </w:r>
          </w:p>
        </w:tc>
      </w:tr>
      <w:tr w:rsidR="00C41E27" w:rsidRPr="004B459F" w:rsidTr="00E20C50">
        <w:trPr>
          <w:trHeight w:val="9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7" w:rsidRPr="004B459F" w:rsidRDefault="00C41E27" w:rsidP="00E20C50">
            <w:pPr>
              <w:rPr>
                <w:b/>
                <w:color w:val="000000"/>
                <w:szCs w:val="20"/>
              </w:rPr>
            </w:pPr>
            <w:r w:rsidRPr="004B459F">
              <w:rPr>
                <w:b/>
                <w:color w:val="000000"/>
                <w:szCs w:val="20"/>
                <w:lang w:val="en"/>
              </w:rPr>
              <w:t xml:space="preserve">Rights to harvest timber within legally </w:t>
            </w:r>
            <w:proofErr w:type="spellStart"/>
            <w:r w:rsidRPr="004B459F">
              <w:rPr>
                <w:b/>
                <w:color w:val="000000"/>
                <w:szCs w:val="20"/>
                <w:lang w:val="en"/>
              </w:rPr>
              <w:t>gazetted</w:t>
            </w:r>
            <w:proofErr w:type="spellEnd"/>
            <w:r w:rsidRPr="004B459F">
              <w:rPr>
                <w:b/>
                <w:color w:val="000000"/>
                <w:szCs w:val="20"/>
                <w:lang w:val="en"/>
              </w:rPr>
              <w:t xml:space="preserve"> boundaries,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7" w:rsidRPr="004B459F" w:rsidRDefault="00C41E27" w:rsidP="00E20C50">
            <w:pPr>
              <w:rPr>
                <w:color w:val="000000"/>
                <w:szCs w:val="20"/>
              </w:rPr>
            </w:pPr>
            <w:r w:rsidRPr="004B459F">
              <w:rPr>
                <w:color w:val="000000"/>
                <w:szCs w:val="20"/>
              </w:rPr>
              <w:t xml:space="preserve">Generally </w:t>
            </w:r>
            <w:r>
              <w:rPr>
                <w:color w:val="000000"/>
                <w:szCs w:val="20"/>
              </w:rPr>
              <w:t xml:space="preserve">available documents in paper or </w:t>
            </w:r>
            <w:r w:rsidRPr="004B459F">
              <w:rPr>
                <w:color w:val="000000"/>
                <w:szCs w:val="20"/>
              </w:rPr>
              <w:t>electronic form e.g. documentation o</w:t>
            </w:r>
            <w:r>
              <w:rPr>
                <w:color w:val="000000"/>
                <w:szCs w:val="20"/>
              </w:rPr>
              <w:t xml:space="preserve">f </w:t>
            </w:r>
            <w:r w:rsidRPr="004B459F">
              <w:rPr>
                <w:color w:val="000000"/>
                <w:szCs w:val="20"/>
              </w:rPr>
              <w:t>ownership/rights to land use or contract or</w:t>
            </w:r>
            <w:r w:rsidRPr="004B459F">
              <w:rPr>
                <w:color w:val="000000"/>
                <w:szCs w:val="20"/>
              </w:rPr>
              <w:br/>
              <w:t>concession agreements</w:t>
            </w:r>
          </w:p>
        </w:tc>
      </w:tr>
      <w:tr w:rsidR="00C41E27" w:rsidRPr="004B459F" w:rsidTr="00E20C50">
        <w:trPr>
          <w:trHeight w:val="10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7" w:rsidRPr="004B459F" w:rsidRDefault="00C41E27" w:rsidP="00E20C50">
            <w:pPr>
              <w:rPr>
                <w:b/>
                <w:color w:val="000000"/>
                <w:szCs w:val="20"/>
              </w:rPr>
            </w:pPr>
            <w:r w:rsidRPr="004B459F">
              <w:rPr>
                <w:b/>
                <w:color w:val="000000"/>
                <w:szCs w:val="20"/>
                <w:lang w:val="en"/>
              </w:rPr>
              <w:t>Payments for harvest rights and timber including duties related to timber harvesting,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7" w:rsidRPr="004B459F" w:rsidRDefault="00C41E27" w:rsidP="00E20C50">
            <w:pPr>
              <w:rPr>
                <w:color w:val="000000"/>
                <w:szCs w:val="20"/>
              </w:rPr>
            </w:pPr>
            <w:r w:rsidRPr="004B459F">
              <w:rPr>
                <w:color w:val="000000"/>
                <w:szCs w:val="20"/>
              </w:rPr>
              <w:t xml:space="preserve">Generally </w:t>
            </w:r>
            <w:r>
              <w:rPr>
                <w:color w:val="000000"/>
                <w:szCs w:val="20"/>
              </w:rPr>
              <w:t xml:space="preserve">available documents in paper or </w:t>
            </w:r>
            <w:r w:rsidRPr="004B459F">
              <w:rPr>
                <w:color w:val="000000"/>
                <w:szCs w:val="20"/>
              </w:rPr>
              <w:t xml:space="preserve">electronically </w:t>
            </w:r>
            <w:r>
              <w:rPr>
                <w:color w:val="000000"/>
                <w:szCs w:val="20"/>
              </w:rPr>
              <w:t xml:space="preserve">e.g. contracts, bank notes, VAT </w:t>
            </w:r>
            <w:r w:rsidRPr="004B459F">
              <w:rPr>
                <w:color w:val="000000"/>
                <w:szCs w:val="20"/>
              </w:rPr>
              <w:t>documentation, official receipts, etc.</w:t>
            </w:r>
          </w:p>
        </w:tc>
      </w:tr>
      <w:tr w:rsidR="00C41E27" w:rsidRPr="004B459F" w:rsidTr="00E20C50">
        <w:trPr>
          <w:trHeight w:val="14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7" w:rsidRPr="004B459F" w:rsidRDefault="00C41E27" w:rsidP="00E20C50">
            <w:pPr>
              <w:rPr>
                <w:b/>
                <w:color w:val="000000"/>
                <w:szCs w:val="20"/>
              </w:rPr>
            </w:pPr>
            <w:r w:rsidRPr="004B459F">
              <w:rPr>
                <w:b/>
                <w:color w:val="000000"/>
                <w:szCs w:val="20"/>
                <w:lang w:val="en"/>
              </w:rPr>
              <w:t>Timber harvesting, including environmental and forest legislation including forest management and biodiversity conservation, where directly related to timber harvesting,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7" w:rsidRPr="004B459F" w:rsidRDefault="00C41E27" w:rsidP="00E20C50">
            <w:pPr>
              <w:rPr>
                <w:color w:val="000000"/>
                <w:szCs w:val="20"/>
              </w:rPr>
            </w:pPr>
            <w:r w:rsidRPr="004B459F">
              <w:rPr>
                <w:color w:val="000000"/>
                <w:szCs w:val="20"/>
              </w:rPr>
              <w:t>Official audit reports; environmental clea</w:t>
            </w:r>
            <w:r>
              <w:rPr>
                <w:color w:val="000000"/>
                <w:szCs w:val="20"/>
              </w:rPr>
              <w:t xml:space="preserve">rance </w:t>
            </w:r>
            <w:r w:rsidRPr="004B459F">
              <w:rPr>
                <w:color w:val="000000"/>
                <w:szCs w:val="20"/>
              </w:rPr>
              <w:t>certificates; approv</w:t>
            </w:r>
            <w:r>
              <w:rPr>
                <w:color w:val="000000"/>
                <w:szCs w:val="20"/>
              </w:rPr>
              <w:t xml:space="preserve">ed harvest plans; coupe closure </w:t>
            </w:r>
            <w:r w:rsidRPr="004B459F">
              <w:rPr>
                <w:color w:val="000000"/>
                <w:szCs w:val="20"/>
              </w:rPr>
              <w:t>reports, ISO c</w:t>
            </w:r>
            <w:r>
              <w:rPr>
                <w:color w:val="000000"/>
                <w:szCs w:val="20"/>
              </w:rPr>
              <w:t xml:space="preserve">ertificates; codes of conducts; </w:t>
            </w:r>
            <w:r w:rsidRPr="004B459F">
              <w:rPr>
                <w:color w:val="000000"/>
                <w:szCs w:val="20"/>
              </w:rPr>
              <w:t>publicly avai</w:t>
            </w:r>
            <w:r>
              <w:rPr>
                <w:color w:val="000000"/>
                <w:szCs w:val="20"/>
              </w:rPr>
              <w:t xml:space="preserve">lable information demonstrating </w:t>
            </w:r>
            <w:r w:rsidRPr="004B459F">
              <w:rPr>
                <w:color w:val="000000"/>
                <w:szCs w:val="20"/>
              </w:rPr>
              <w:t xml:space="preserve">rigorous legislative </w:t>
            </w:r>
            <w:r>
              <w:rPr>
                <w:color w:val="000000"/>
                <w:szCs w:val="20"/>
              </w:rPr>
              <w:t xml:space="preserve">supervision and timber tracking </w:t>
            </w:r>
            <w:r w:rsidRPr="004B459F">
              <w:rPr>
                <w:color w:val="000000"/>
                <w:szCs w:val="20"/>
              </w:rPr>
              <w:t>and control proced</w:t>
            </w:r>
            <w:r>
              <w:rPr>
                <w:color w:val="000000"/>
                <w:szCs w:val="20"/>
              </w:rPr>
              <w:t xml:space="preserve">ures; official documents issued </w:t>
            </w:r>
            <w:r w:rsidRPr="004B459F">
              <w:rPr>
                <w:color w:val="000000"/>
                <w:szCs w:val="20"/>
              </w:rPr>
              <w:t>by competent authorities in a country of harvest etc.</w:t>
            </w:r>
          </w:p>
        </w:tc>
      </w:tr>
      <w:tr w:rsidR="00C41E27" w:rsidRPr="004B459F" w:rsidTr="00E20C50">
        <w:trPr>
          <w:trHeight w:val="11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7" w:rsidRPr="004B459F" w:rsidRDefault="00C41E27" w:rsidP="00E20C50">
            <w:pPr>
              <w:rPr>
                <w:b/>
                <w:color w:val="000000"/>
                <w:szCs w:val="20"/>
              </w:rPr>
            </w:pPr>
            <w:r w:rsidRPr="004B459F">
              <w:rPr>
                <w:b/>
                <w:color w:val="000000"/>
                <w:szCs w:val="20"/>
                <w:lang w:val="en"/>
              </w:rPr>
              <w:t>Third parties ' legal rights concerning use and tenure that are affected by timber harvesting, and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7" w:rsidRPr="004B459F" w:rsidRDefault="00C41E27" w:rsidP="00E20C50">
            <w:pPr>
              <w:rPr>
                <w:color w:val="000000"/>
                <w:szCs w:val="20"/>
              </w:rPr>
            </w:pPr>
            <w:r w:rsidRPr="004B459F">
              <w:rPr>
                <w:color w:val="000000"/>
                <w:szCs w:val="20"/>
              </w:rPr>
              <w:t>Env</w:t>
            </w:r>
            <w:r>
              <w:rPr>
                <w:color w:val="000000"/>
                <w:szCs w:val="20"/>
              </w:rPr>
              <w:t xml:space="preserve">ironmental impact assessments, </w:t>
            </w:r>
            <w:r w:rsidRPr="004B459F">
              <w:rPr>
                <w:color w:val="000000"/>
                <w:szCs w:val="20"/>
              </w:rPr>
              <w:t>en</w:t>
            </w:r>
            <w:r>
              <w:rPr>
                <w:color w:val="000000"/>
                <w:szCs w:val="20"/>
              </w:rPr>
              <w:t xml:space="preserve">vironmental management plans, </w:t>
            </w:r>
            <w:r w:rsidRPr="004B459F">
              <w:rPr>
                <w:color w:val="000000"/>
                <w:szCs w:val="20"/>
              </w:rPr>
              <w:t>environmental audit reports, so</w:t>
            </w:r>
            <w:r>
              <w:rPr>
                <w:color w:val="000000"/>
                <w:szCs w:val="20"/>
              </w:rPr>
              <w:t xml:space="preserve">cial </w:t>
            </w:r>
            <w:r w:rsidRPr="004B459F">
              <w:rPr>
                <w:color w:val="000000"/>
                <w:szCs w:val="20"/>
              </w:rPr>
              <w:t>responsibility agreements,</w:t>
            </w:r>
            <w:r>
              <w:rPr>
                <w:color w:val="000000"/>
                <w:szCs w:val="20"/>
              </w:rPr>
              <w:t xml:space="preserve"> specific reports on tenure and </w:t>
            </w:r>
            <w:r w:rsidRPr="004B459F">
              <w:rPr>
                <w:color w:val="000000"/>
                <w:szCs w:val="20"/>
              </w:rPr>
              <w:t>rights claims and conflicts.</w:t>
            </w:r>
          </w:p>
        </w:tc>
      </w:tr>
      <w:tr w:rsidR="00C41E27" w:rsidRPr="004B459F" w:rsidTr="00E20C50">
        <w:trPr>
          <w:trHeight w:val="113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7" w:rsidRPr="004B459F" w:rsidRDefault="00C41E27" w:rsidP="00E20C50">
            <w:pPr>
              <w:rPr>
                <w:b/>
                <w:color w:val="000000"/>
                <w:szCs w:val="20"/>
              </w:rPr>
            </w:pPr>
            <w:r w:rsidRPr="004B459F">
              <w:rPr>
                <w:b/>
                <w:color w:val="000000"/>
                <w:szCs w:val="20"/>
                <w:lang w:val="en"/>
              </w:rPr>
              <w:t>Trade and customs, in so far as the forest sector is concerned.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E27" w:rsidRPr="004B459F" w:rsidRDefault="00C41E27" w:rsidP="00E20C50">
            <w:pPr>
              <w:rPr>
                <w:color w:val="000000"/>
                <w:szCs w:val="20"/>
              </w:rPr>
            </w:pPr>
            <w:r w:rsidRPr="004B459F">
              <w:rPr>
                <w:color w:val="000000"/>
                <w:szCs w:val="20"/>
              </w:rPr>
              <w:t xml:space="preserve">Generally </w:t>
            </w:r>
            <w:r>
              <w:rPr>
                <w:color w:val="000000"/>
                <w:szCs w:val="20"/>
              </w:rPr>
              <w:t xml:space="preserve">available documents in paper or </w:t>
            </w:r>
            <w:r w:rsidRPr="004B459F">
              <w:rPr>
                <w:color w:val="000000"/>
                <w:szCs w:val="20"/>
              </w:rPr>
              <w:t>electronic format e.</w:t>
            </w:r>
            <w:r>
              <w:rPr>
                <w:color w:val="000000"/>
                <w:szCs w:val="20"/>
              </w:rPr>
              <w:t xml:space="preserve">g. contracts, bank notes, trade </w:t>
            </w:r>
            <w:r w:rsidRPr="004B459F">
              <w:rPr>
                <w:color w:val="000000"/>
                <w:szCs w:val="20"/>
              </w:rPr>
              <w:t>notes, import lice</w:t>
            </w:r>
            <w:r>
              <w:rPr>
                <w:color w:val="000000"/>
                <w:szCs w:val="20"/>
              </w:rPr>
              <w:t xml:space="preserve">nses, export licenses, official </w:t>
            </w:r>
            <w:r w:rsidRPr="004B459F">
              <w:rPr>
                <w:color w:val="000000"/>
                <w:szCs w:val="20"/>
              </w:rPr>
              <w:t>receipts for export d</w:t>
            </w:r>
            <w:r>
              <w:rPr>
                <w:color w:val="000000"/>
                <w:szCs w:val="20"/>
              </w:rPr>
              <w:t xml:space="preserve">uties, export ban lists, export </w:t>
            </w:r>
            <w:r w:rsidRPr="004B459F">
              <w:rPr>
                <w:color w:val="000000"/>
                <w:szCs w:val="20"/>
              </w:rPr>
              <w:t>quota awards, etc.</w:t>
            </w:r>
          </w:p>
        </w:tc>
      </w:tr>
    </w:tbl>
    <w:p w:rsidR="00C41E27" w:rsidRPr="00FE1AFC" w:rsidRDefault="00C41E27" w:rsidP="00C41E27">
      <w:pPr>
        <w:rPr>
          <w:szCs w:val="20"/>
          <w:lang w:val="en"/>
        </w:rPr>
      </w:pPr>
    </w:p>
    <w:p w:rsidR="00C41E27" w:rsidRPr="002423D9" w:rsidRDefault="00C41E27" w:rsidP="00C41E27">
      <w:pPr>
        <w:pStyle w:val="ListParagraph"/>
        <w:numPr>
          <w:ilvl w:val="0"/>
          <w:numId w:val="10"/>
        </w:numPr>
        <w:ind w:left="284" w:hanging="284"/>
        <w:rPr>
          <w:b/>
          <w:szCs w:val="20"/>
          <w:lang w:val="en"/>
        </w:rPr>
      </w:pPr>
      <w:r w:rsidRPr="002423D9">
        <w:rPr>
          <w:b/>
          <w:szCs w:val="20"/>
          <w:lang w:val="en"/>
        </w:rPr>
        <w:t xml:space="preserve">Copy of the risk assessment, which include the following criteria:  </w:t>
      </w:r>
    </w:p>
    <w:p w:rsidR="00C41E27" w:rsidRPr="002423D9" w:rsidRDefault="00C41E27" w:rsidP="00C41E27">
      <w:pPr>
        <w:pStyle w:val="ListParagraph"/>
        <w:numPr>
          <w:ilvl w:val="0"/>
          <w:numId w:val="11"/>
        </w:numPr>
        <w:rPr>
          <w:szCs w:val="20"/>
          <w:lang w:val="en"/>
        </w:rPr>
      </w:pPr>
      <w:r w:rsidRPr="002423D9">
        <w:rPr>
          <w:szCs w:val="20"/>
          <w:lang w:val="en"/>
        </w:rPr>
        <w:t>assurance of compliance with applicable legislation, which may include certification or other third-party-verified schemes which cover compliance with applicable legislation;</w:t>
      </w:r>
    </w:p>
    <w:p w:rsidR="00C41E27" w:rsidRPr="002423D9" w:rsidRDefault="00C41E27" w:rsidP="00C41E27">
      <w:pPr>
        <w:pStyle w:val="ListParagraph"/>
        <w:numPr>
          <w:ilvl w:val="0"/>
          <w:numId w:val="11"/>
        </w:numPr>
        <w:rPr>
          <w:szCs w:val="20"/>
          <w:lang w:val="en"/>
        </w:rPr>
      </w:pPr>
      <w:r w:rsidRPr="002423D9">
        <w:rPr>
          <w:szCs w:val="20"/>
          <w:lang w:val="en"/>
        </w:rPr>
        <w:t>prevalence of illegal harvesting of specific tree species;</w:t>
      </w:r>
    </w:p>
    <w:p w:rsidR="00C41E27" w:rsidRPr="002423D9" w:rsidRDefault="00C41E27" w:rsidP="00C41E27">
      <w:pPr>
        <w:pStyle w:val="ListParagraph"/>
        <w:numPr>
          <w:ilvl w:val="0"/>
          <w:numId w:val="11"/>
        </w:numPr>
        <w:rPr>
          <w:szCs w:val="20"/>
          <w:lang w:val="en"/>
        </w:rPr>
      </w:pPr>
      <w:r w:rsidRPr="002423D9">
        <w:rPr>
          <w:szCs w:val="20"/>
          <w:lang w:val="en"/>
        </w:rPr>
        <w:t>prevalence of illegal harvesting or practices in the country of harvest and/or sub-national region where the timber was harvested, including consideration of the prevalence of armed conflict;</w:t>
      </w:r>
    </w:p>
    <w:p w:rsidR="00C41E27" w:rsidRPr="002423D9" w:rsidRDefault="00C41E27" w:rsidP="00C41E27">
      <w:pPr>
        <w:pStyle w:val="ListParagraph"/>
        <w:numPr>
          <w:ilvl w:val="0"/>
          <w:numId w:val="11"/>
        </w:numPr>
        <w:rPr>
          <w:szCs w:val="20"/>
          <w:lang w:val="en"/>
        </w:rPr>
      </w:pPr>
      <w:r w:rsidRPr="002423D9">
        <w:rPr>
          <w:szCs w:val="20"/>
          <w:lang w:val="en"/>
        </w:rPr>
        <w:t>sanctions imposed by the UN Security Council or the Council of the European Union on timber imports or exports;</w:t>
      </w:r>
    </w:p>
    <w:p w:rsidR="00C41E27" w:rsidRPr="002423D9" w:rsidRDefault="00C41E27" w:rsidP="00C41E27">
      <w:pPr>
        <w:pStyle w:val="ListParagraph"/>
        <w:numPr>
          <w:ilvl w:val="0"/>
          <w:numId w:val="11"/>
        </w:numPr>
        <w:rPr>
          <w:szCs w:val="20"/>
          <w:lang w:val="en"/>
        </w:rPr>
      </w:pPr>
      <w:proofErr w:type="gramStart"/>
      <w:r w:rsidRPr="002423D9">
        <w:rPr>
          <w:szCs w:val="20"/>
          <w:lang w:val="en"/>
        </w:rPr>
        <w:t>complexity</w:t>
      </w:r>
      <w:proofErr w:type="gramEnd"/>
      <w:r w:rsidRPr="002423D9">
        <w:rPr>
          <w:szCs w:val="20"/>
          <w:lang w:val="en"/>
        </w:rPr>
        <w:t xml:space="preserve"> of the supply chain of timber and timber products.</w:t>
      </w:r>
      <w:r w:rsidRPr="002423D9">
        <w:rPr>
          <w:szCs w:val="20"/>
          <w:lang w:val="en"/>
        </w:rPr>
        <w:br/>
      </w:r>
    </w:p>
    <w:p w:rsidR="00C41E27" w:rsidRPr="002423D9" w:rsidRDefault="00C41E27" w:rsidP="00C41E27">
      <w:pPr>
        <w:pStyle w:val="ListParagraph"/>
        <w:numPr>
          <w:ilvl w:val="0"/>
          <w:numId w:val="10"/>
        </w:numPr>
        <w:ind w:left="426" w:hanging="426"/>
        <w:rPr>
          <w:b/>
          <w:szCs w:val="20"/>
          <w:lang w:val="en"/>
        </w:rPr>
      </w:pPr>
      <w:r w:rsidRPr="002423D9">
        <w:rPr>
          <w:b/>
          <w:szCs w:val="20"/>
          <w:lang w:val="en"/>
        </w:rPr>
        <w:t xml:space="preserve">Copy of risk mitigation undertaken - </w:t>
      </w:r>
      <w:r w:rsidRPr="002423D9">
        <w:rPr>
          <w:szCs w:val="20"/>
          <w:lang w:val="en"/>
        </w:rPr>
        <w:t>this is requested if the risk has been deemed non negligible as part of the risk assessment. These may include:</w:t>
      </w:r>
    </w:p>
    <w:p w:rsidR="00C41E27" w:rsidRPr="002423D9" w:rsidRDefault="00C41E27" w:rsidP="00C41E27">
      <w:pPr>
        <w:pStyle w:val="ListParagraph"/>
        <w:numPr>
          <w:ilvl w:val="0"/>
          <w:numId w:val="12"/>
        </w:numPr>
        <w:rPr>
          <w:szCs w:val="20"/>
          <w:lang w:val="en"/>
        </w:rPr>
      </w:pPr>
      <w:r w:rsidRPr="002423D9">
        <w:rPr>
          <w:szCs w:val="20"/>
          <w:lang w:val="en"/>
        </w:rPr>
        <w:t>requiring additional information from your suppliers;</w:t>
      </w:r>
    </w:p>
    <w:p w:rsidR="00C41E27" w:rsidRPr="002423D9" w:rsidRDefault="00C41E27" w:rsidP="00C41E27">
      <w:pPr>
        <w:pStyle w:val="ListParagraph"/>
        <w:numPr>
          <w:ilvl w:val="0"/>
          <w:numId w:val="12"/>
        </w:numPr>
        <w:rPr>
          <w:szCs w:val="20"/>
          <w:lang w:val="en"/>
        </w:rPr>
      </w:pPr>
      <w:r w:rsidRPr="002423D9">
        <w:rPr>
          <w:szCs w:val="20"/>
          <w:lang w:val="en"/>
        </w:rPr>
        <w:t>requiring additional documents from your suppliers;</w:t>
      </w:r>
    </w:p>
    <w:p w:rsidR="00C41E27" w:rsidRPr="002423D9" w:rsidRDefault="00C41E27" w:rsidP="00C41E27">
      <w:pPr>
        <w:pStyle w:val="ListParagraph"/>
        <w:numPr>
          <w:ilvl w:val="0"/>
          <w:numId w:val="12"/>
        </w:numPr>
        <w:rPr>
          <w:szCs w:val="20"/>
          <w:lang w:val="en"/>
        </w:rPr>
      </w:pPr>
      <w:r w:rsidRPr="002423D9">
        <w:rPr>
          <w:szCs w:val="20"/>
          <w:lang w:val="en"/>
        </w:rPr>
        <w:t xml:space="preserve">Third party certifications; </w:t>
      </w:r>
    </w:p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Pr="00920274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>
      <w:pPr>
        <w:tabs>
          <w:tab w:val="left" w:pos="2730"/>
        </w:tabs>
      </w:pPr>
      <w:r>
        <w:tab/>
      </w:r>
    </w:p>
    <w:p w:rsidR="00C41E27" w:rsidRDefault="00C41E27" w:rsidP="00C41E27">
      <w:pPr>
        <w:tabs>
          <w:tab w:val="left" w:pos="2730"/>
        </w:tabs>
      </w:pPr>
    </w:p>
    <w:p w:rsidR="00C41E27" w:rsidRDefault="00C41E27" w:rsidP="00C41E27">
      <w:pPr>
        <w:tabs>
          <w:tab w:val="left" w:pos="2730"/>
        </w:tabs>
      </w:pPr>
    </w:p>
    <w:p w:rsidR="00C41E27" w:rsidRDefault="00C41E27" w:rsidP="00C41E27">
      <w:pPr>
        <w:tabs>
          <w:tab w:val="left" w:pos="2730"/>
        </w:tabs>
      </w:pPr>
    </w:p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p w:rsidR="00C41E27" w:rsidRDefault="00C41E27" w:rsidP="00C41E27"/>
    <w:bookmarkEnd w:id="1"/>
    <w:bookmarkEnd w:id="2"/>
    <w:p w:rsidR="00C41E27" w:rsidRDefault="00C41E27" w:rsidP="00C41E27"/>
    <w:sectPr w:rsidR="00C41E27" w:rsidSect="00D87099">
      <w:pgSz w:w="11906" w:h="16838" w:code="9"/>
      <w:pgMar w:top="1418" w:right="1106" w:bottom="902" w:left="1230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17" w:rsidRDefault="00701A17" w:rsidP="00C41E27">
      <w:r>
        <w:separator/>
      </w:r>
    </w:p>
  </w:endnote>
  <w:endnote w:type="continuationSeparator" w:id="0">
    <w:p w:rsidR="00701A17" w:rsidRDefault="00701A17" w:rsidP="00C4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17" w:rsidRDefault="00701A17" w:rsidP="00C41E27">
      <w:r>
        <w:separator/>
      </w:r>
    </w:p>
  </w:footnote>
  <w:footnote w:type="continuationSeparator" w:id="0">
    <w:p w:rsidR="00701A17" w:rsidRDefault="00701A17" w:rsidP="00C41E27">
      <w:r>
        <w:continuationSeparator/>
      </w:r>
    </w:p>
  </w:footnote>
  <w:footnote w:id="1">
    <w:p w:rsidR="00C41E27" w:rsidRPr="00FE1AFC" w:rsidRDefault="00C41E27" w:rsidP="00C41E27">
      <w:pPr>
        <w:pStyle w:val="Heading2"/>
        <w:tabs>
          <w:tab w:val="clear" w:pos="792"/>
          <w:tab w:val="num" w:pos="142"/>
        </w:tabs>
        <w:ind w:left="284" w:hanging="284"/>
        <w:rPr>
          <w:rFonts w:ascii="Calibri" w:hAnsi="Calibri" w:cs="Times New Roman"/>
          <w:b w:val="0"/>
          <w:bCs w:val="0"/>
          <w:iCs w:val="0"/>
          <w:color w:val="auto"/>
          <w:sz w:val="18"/>
          <w:szCs w:val="18"/>
          <w:lang w:val="en"/>
        </w:rPr>
      </w:pPr>
      <w:r w:rsidRPr="00FE1AFC">
        <w:rPr>
          <w:rFonts w:ascii="Calibri" w:hAnsi="Calibri" w:cs="Times New Roman"/>
          <w:b w:val="0"/>
          <w:bCs w:val="0"/>
          <w:iCs w:val="0"/>
          <w:color w:val="auto"/>
          <w:sz w:val="20"/>
          <w:szCs w:val="20"/>
          <w:lang w:val="en"/>
        </w:rPr>
        <w:t xml:space="preserve">A free downloadable guidance to help you set up a DDS is available from </w:t>
      </w:r>
      <w:proofErr w:type="spellStart"/>
      <w:r w:rsidRPr="00FE1AFC">
        <w:rPr>
          <w:rFonts w:ascii="Calibri" w:hAnsi="Calibri" w:cs="Times New Roman"/>
          <w:b w:val="0"/>
          <w:bCs w:val="0"/>
          <w:iCs w:val="0"/>
          <w:color w:val="auto"/>
          <w:sz w:val="20"/>
          <w:szCs w:val="20"/>
          <w:lang w:val="en"/>
        </w:rPr>
        <w:t>NEPCon</w:t>
      </w:r>
      <w:proofErr w:type="spellEnd"/>
      <w:r w:rsidRPr="00FE1AFC">
        <w:rPr>
          <w:rFonts w:ascii="Calibri" w:hAnsi="Calibri" w:cs="Times New Roman"/>
          <w:b w:val="0"/>
          <w:bCs w:val="0"/>
          <w:iCs w:val="0"/>
          <w:color w:val="auto"/>
          <w:sz w:val="20"/>
          <w:szCs w:val="20"/>
          <w:lang w:val="en"/>
        </w:rPr>
        <w:t xml:space="preserve"> called </w:t>
      </w:r>
      <w:r w:rsidRPr="00FE1AFC">
        <w:rPr>
          <w:rFonts w:ascii="Calibri" w:hAnsi="Calibri" w:cs="Times New Roman"/>
          <w:bCs w:val="0"/>
          <w:iCs w:val="0"/>
          <w:color w:val="auto"/>
          <w:sz w:val="20"/>
          <w:szCs w:val="20"/>
          <w:lang w:val="en"/>
        </w:rPr>
        <w:t xml:space="preserve">The </w:t>
      </w:r>
      <w:proofErr w:type="spellStart"/>
      <w:r w:rsidRPr="00FE1AFC">
        <w:rPr>
          <w:rFonts w:ascii="Calibri" w:hAnsi="Calibri" w:cs="Times New Roman"/>
          <w:bCs w:val="0"/>
          <w:iCs w:val="0"/>
          <w:color w:val="auto"/>
          <w:sz w:val="20"/>
          <w:szCs w:val="20"/>
          <w:lang w:val="en"/>
        </w:rPr>
        <w:t>LegalSource</w:t>
      </w:r>
      <w:r w:rsidRPr="00FE1AFC">
        <w:rPr>
          <w:rFonts w:ascii="Calibri" w:hAnsi="Calibri" w:cs="Times New Roman"/>
          <w:bCs w:val="0"/>
          <w:iCs w:val="0"/>
          <w:color w:val="auto"/>
          <w:sz w:val="20"/>
          <w:szCs w:val="20"/>
          <w:vertAlign w:val="superscript"/>
          <w:lang w:val="en"/>
        </w:rPr>
        <w:t>TM</w:t>
      </w:r>
      <w:proofErr w:type="spellEnd"/>
      <w:r w:rsidRPr="00FE1AFC">
        <w:rPr>
          <w:rFonts w:ascii="Calibri" w:hAnsi="Calibri" w:cs="Times New Roman"/>
          <w:bCs w:val="0"/>
          <w:iCs w:val="0"/>
          <w:color w:val="auto"/>
          <w:sz w:val="20"/>
          <w:szCs w:val="20"/>
          <w:lang w:val="en"/>
        </w:rPr>
        <w:t xml:space="preserve"> Due Diligence System files </w:t>
      </w:r>
      <w:r w:rsidRPr="00FE1AFC">
        <w:rPr>
          <w:rFonts w:ascii="Calibri" w:hAnsi="Calibri" w:cs="Times New Roman"/>
          <w:b w:val="0"/>
          <w:bCs w:val="0"/>
          <w:iCs w:val="0"/>
          <w:color w:val="auto"/>
          <w:sz w:val="20"/>
          <w:szCs w:val="20"/>
          <w:lang w:val="en"/>
        </w:rPr>
        <w:t xml:space="preserve">on </w:t>
      </w:r>
      <w:hyperlink r:id="rId1" w:history="1">
        <w:r w:rsidRPr="00FE1AFC">
          <w:rPr>
            <w:rStyle w:val="Hyperlink"/>
            <w:b w:val="0"/>
            <w:bCs w:val="0"/>
            <w:iCs w:val="0"/>
            <w:sz w:val="18"/>
            <w:szCs w:val="18"/>
            <w:lang w:val="en"/>
          </w:rPr>
          <w:t>http://www.nepcon.net/4871/English/Certification/Timber_legality_services/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pt;height:15.75pt" o:bullet="t">
        <v:imagedata r:id="rId1" o:title=""/>
      </v:shape>
    </w:pict>
  </w:numPicBullet>
  <w:abstractNum w:abstractNumId="0">
    <w:nsid w:val="0A895B3A"/>
    <w:multiLevelType w:val="hybridMultilevel"/>
    <w:tmpl w:val="F25AF8F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2E6EA3"/>
    <w:multiLevelType w:val="hybridMultilevel"/>
    <w:tmpl w:val="76D2CD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D413E"/>
    <w:multiLevelType w:val="hybridMultilevel"/>
    <w:tmpl w:val="78E8D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A6FF7"/>
    <w:multiLevelType w:val="hybridMultilevel"/>
    <w:tmpl w:val="61B6205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E17DF8"/>
    <w:multiLevelType w:val="hybridMultilevel"/>
    <w:tmpl w:val="D034D9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90683"/>
    <w:multiLevelType w:val="hybridMultilevel"/>
    <w:tmpl w:val="23D4DD16"/>
    <w:lvl w:ilvl="0" w:tplc="08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C4712EA"/>
    <w:multiLevelType w:val="hybridMultilevel"/>
    <w:tmpl w:val="A738B654"/>
    <w:lvl w:ilvl="0" w:tplc="08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hint="default"/>
      </w:rPr>
    </w:lvl>
  </w:abstractNum>
  <w:abstractNum w:abstractNumId="7">
    <w:nsid w:val="4CA47233"/>
    <w:multiLevelType w:val="hybridMultilevel"/>
    <w:tmpl w:val="DDDE1C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03B93"/>
    <w:multiLevelType w:val="hybridMultilevel"/>
    <w:tmpl w:val="A88C70EA"/>
    <w:lvl w:ilvl="0" w:tplc="6114A4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74706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AB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001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0F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CD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80A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DC78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2E8D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0557959"/>
    <w:multiLevelType w:val="hybridMultilevel"/>
    <w:tmpl w:val="239EC3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9C7742"/>
    <w:multiLevelType w:val="multilevel"/>
    <w:tmpl w:val="5220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7B041EB7"/>
    <w:multiLevelType w:val="hybridMultilevel"/>
    <w:tmpl w:val="FFB6B11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1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27"/>
    <w:rsid w:val="00000D21"/>
    <w:rsid w:val="000418B2"/>
    <w:rsid w:val="005F5E20"/>
    <w:rsid w:val="00701A17"/>
    <w:rsid w:val="009B77AB"/>
    <w:rsid w:val="00A07F85"/>
    <w:rsid w:val="00C41E27"/>
    <w:rsid w:val="00CB2118"/>
    <w:rsid w:val="00D87099"/>
    <w:rsid w:val="00DC667C"/>
    <w:rsid w:val="00F0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27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41E27"/>
    <w:pPr>
      <w:keepNext/>
      <w:numPr>
        <w:ilvl w:val="1"/>
        <w:numId w:val="2"/>
      </w:numPr>
      <w:spacing w:before="240" w:after="60"/>
      <w:outlineLvl w:val="1"/>
    </w:pPr>
    <w:rPr>
      <w:rFonts w:asciiTheme="minorHAnsi" w:hAnsiTheme="minorHAnsi" w:cs="Arial"/>
      <w:b/>
      <w:bCs/>
      <w:iCs/>
      <w:color w:val="00809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1E27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1E27"/>
    <w:rPr>
      <w:rFonts w:eastAsia="Times New Roman" w:cs="Arial"/>
      <w:b/>
      <w:bCs/>
      <w:iCs/>
      <w:color w:val="00809E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C41E27"/>
    <w:rPr>
      <w:rFonts w:ascii="Calibri" w:eastAsia="Times New Roman" w:hAnsi="Calibri" w:cs="Arial"/>
      <w:b/>
      <w:bCs/>
      <w:szCs w:val="26"/>
      <w:lang w:eastAsia="en-GB"/>
    </w:rPr>
  </w:style>
  <w:style w:type="paragraph" w:styleId="Header">
    <w:name w:val="header"/>
    <w:basedOn w:val="Normal"/>
    <w:link w:val="HeaderChar"/>
    <w:rsid w:val="00C41E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1E27"/>
    <w:rPr>
      <w:rFonts w:ascii="Calibri" w:eastAsia="Times New Roman" w:hAnsi="Calibri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rsid w:val="00C41E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41E27"/>
    <w:rPr>
      <w:rFonts w:ascii="Calibri" w:eastAsia="Times New Roman" w:hAnsi="Calibri" w:cs="Times New Roman"/>
      <w:sz w:val="20"/>
      <w:szCs w:val="24"/>
      <w:lang w:eastAsia="en-GB"/>
    </w:rPr>
  </w:style>
  <w:style w:type="character" w:styleId="Hyperlink">
    <w:name w:val="Hyperlink"/>
    <w:uiPriority w:val="99"/>
    <w:rsid w:val="00C41E27"/>
    <w:rPr>
      <w:color w:val="0000FF"/>
      <w:u w:val="single"/>
    </w:rPr>
  </w:style>
  <w:style w:type="paragraph" w:styleId="NormalWeb">
    <w:name w:val="Normal (Web)"/>
    <w:basedOn w:val="Normal"/>
    <w:rsid w:val="00C41E27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en-US"/>
    </w:rPr>
  </w:style>
  <w:style w:type="character" w:styleId="PageNumber">
    <w:name w:val="page number"/>
    <w:basedOn w:val="DefaultParagraphFont"/>
    <w:rsid w:val="00C41E27"/>
  </w:style>
  <w:style w:type="paragraph" w:styleId="Caption">
    <w:name w:val="caption"/>
    <w:basedOn w:val="Normal"/>
    <w:next w:val="Normal"/>
    <w:qFormat/>
    <w:rsid w:val="00C41E27"/>
    <w:rPr>
      <w:b/>
      <w:bCs/>
      <w:szCs w:val="20"/>
    </w:rPr>
  </w:style>
  <w:style w:type="paragraph" w:styleId="Title">
    <w:name w:val="Title"/>
    <w:basedOn w:val="Normal"/>
    <w:link w:val="TitleChar"/>
    <w:qFormat/>
    <w:rsid w:val="00C41E27"/>
    <w:rPr>
      <w:rFonts w:asciiTheme="minorHAnsi" w:hAnsiTheme="minorHAnsi"/>
      <w:b/>
      <w:color w:val="00809E"/>
      <w:sz w:val="7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41E27"/>
    <w:rPr>
      <w:rFonts w:eastAsia="Times New Roman" w:cs="Times New Roman"/>
      <w:b/>
      <w:color w:val="00809E"/>
      <w:sz w:val="70"/>
      <w:szCs w:val="20"/>
      <w:lang w:val="en-US"/>
    </w:rPr>
  </w:style>
  <w:style w:type="paragraph" w:customStyle="1" w:styleId="Heading29">
    <w:name w:val="Heading 2+9"/>
    <w:basedOn w:val="Normal"/>
    <w:next w:val="Normal"/>
    <w:rsid w:val="00C41E27"/>
    <w:pPr>
      <w:autoSpaceDE w:val="0"/>
      <w:autoSpaceDN w:val="0"/>
      <w:adjustRightInd w:val="0"/>
    </w:pPr>
    <w:rPr>
      <w:rFonts w:ascii="Arial" w:hAnsi="Arial"/>
      <w:sz w:val="24"/>
    </w:rPr>
  </w:style>
  <w:style w:type="character" w:styleId="Strong">
    <w:name w:val="Strong"/>
    <w:qFormat/>
    <w:rsid w:val="00C41E27"/>
    <w:rPr>
      <w:b/>
      <w:bCs/>
    </w:rPr>
  </w:style>
  <w:style w:type="character" w:styleId="FootnoteReference">
    <w:name w:val="footnote reference"/>
    <w:rsid w:val="00C41E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1E27"/>
    <w:pPr>
      <w:spacing w:line="280" w:lineRule="atLeast"/>
    </w:pPr>
    <w:rPr>
      <w:rFonts w:asciiTheme="minorHAnsi" w:hAnsiTheme="minorHAnsi"/>
    </w:rPr>
  </w:style>
  <w:style w:type="character" w:styleId="BookTitle">
    <w:name w:val="Book Title"/>
    <w:basedOn w:val="DefaultParagraphFont"/>
    <w:uiPriority w:val="33"/>
    <w:qFormat/>
    <w:rsid w:val="00C41E27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27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27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C41E27"/>
    <w:pPr>
      <w:keepNext/>
      <w:numPr>
        <w:ilvl w:val="1"/>
        <w:numId w:val="2"/>
      </w:numPr>
      <w:spacing w:before="240" w:after="60"/>
      <w:outlineLvl w:val="1"/>
    </w:pPr>
    <w:rPr>
      <w:rFonts w:asciiTheme="minorHAnsi" w:hAnsiTheme="minorHAnsi" w:cs="Arial"/>
      <w:b/>
      <w:bCs/>
      <w:iCs/>
      <w:color w:val="00809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1E27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1E27"/>
    <w:rPr>
      <w:rFonts w:eastAsia="Times New Roman" w:cs="Arial"/>
      <w:b/>
      <w:bCs/>
      <w:iCs/>
      <w:color w:val="00809E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C41E27"/>
    <w:rPr>
      <w:rFonts w:ascii="Calibri" w:eastAsia="Times New Roman" w:hAnsi="Calibri" w:cs="Arial"/>
      <w:b/>
      <w:bCs/>
      <w:szCs w:val="26"/>
      <w:lang w:eastAsia="en-GB"/>
    </w:rPr>
  </w:style>
  <w:style w:type="paragraph" w:styleId="Header">
    <w:name w:val="header"/>
    <w:basedOn w:val="Normal"/>
    <w:link w:val="HeaderChar"/>
    <w:rsid w:val="00C41E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1E27"/>
    <w:rPr>
      <w:rFonts w:ascii="Calibri" w:eastAsia="Times New Roman" w:hAnsi="Calibri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rsid w:val="00C41E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41E27"/>
    <w:rPr>
      <w:rFonts w:ascii="Calibri" w:eastAsia="Times New Roman" w:hAnsi="Calibri" w:cs="Times New Roman"/>
      <w:sz w:val="20"/>
      <w:szCs w:val="24"/>
      <w:lang w:eastAsia="en-GB"/>
    </w:rPr>
  </w:style>
  <w:style w:type="character" w:styleId="Hyperlink">
    <w:name w:val="Hyperlink"/>
    <w:uiPriority w:val="99"/>
    <w:rsid w:val="00C41E27"/>
    <w:rPr>
      <w:color w:val="0000FF"/>
      <w:u w:val="single"/>
    </w:rPr>
  </w:style>
  <w:style w:type="paragraph" w:styleId="NormalWeb">
    <w:name w:val="Normal (Web)"/>
    <w:basedOn w:val="Normal"/>
    <w:rsid w:val="00C41E27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en-US"/>
    </w:rPr>
  </w:style>
  <w:style w:type="character" w:styleId="PageNumber">
    <w:name w:val="page number"/>
    <w:basedOn w:val="DefaultParagraphFont"/>
    <w:rsid w:val="00C41E27"/>
  </w:style>
  <w:style w:type="paragraph" w:styleId="Caption">
    <w:name w:val="caption"/>
    <w:basedOn w:val="Normal"/>
    <w:next w:val="Normal"/>
    <w:qFormat/>
    <w:rsid w:val="00C41E27"/>
    <w:rPr>
      <w:b/>
      <w:bCs/>
      <w:szCs w:val="20"/>
    </w:rPr>
  </w:style>
  <w:style w:type="paragraph" w:styleId="Title">
    <w:name w:val="Title"/>
    <w:basedOn w:val="Normal"/>
    <w:link w:val="TitleChar"/>
    <w:qFormat/>
    <w:rsid w:val="00C41E27"/>
    <w:rPr>
      <w:rFonts w:asciiTheme="minorHAnsi" w:hAnsiTheme="minorHAnsi"/>
      <w:b/>
      <w:color w:val="00809E"/>
      <w:sz w:val="7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41E27"/>
    <w:rPr>
      <w:rFonts w:eastAsia="Times New Roman" w:cs="Times New Roman"/>
      <w:b/>
      <w:color w:val="00809E"/>
      <w:sz w:val="70"/>
      <w:szCs w:val="20"/>
      <w:lang w:val="en-US"/>
    </w:rPr>
  </w:style>
  <w:style w:type="paragraph" w:customStyle="1" w:styleId="Heading29">
    <w:name w:val="Heading 2+9"/>
    <w:basedOn w:val="Normal"/>
    <w:next w:val="Normal"/>
    <w:rsid w:val="00C41E27"/>
    <w:pPr>
      <w:autoSpaceDE w:val="0"/>
      <w:autoSpaceDN w:val="0"/>
      <w:adjustRightInd w:val="0"/>
    </w:pPr>
    <w:rPr>
      <w:rFonts w:ascii="Arial" w:hAnsi="Arial"/>
      <w:sz w:val="24"/>
    </w:rPr>
  </w:style>
  <w:style w:type="character" w:styleId="Strong">
    <w:name w:val="Strong"/>
    <w:qFormat/>
    <w:rsid w:val="00C41E27"/>
    <w:rPr>
      <w:b/>
      <w:bCs/>
    </w:rPr>
  </w:style>
  <w:style w:type="character" w:styleId="FootnoteReference">
    <w:name w:val="footnote reference"/>
    <w:rsid w:val="00C41E2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41E27"/>
    <w:pPr>
      <w:spacing w:line="280" w:lineRule="atLeast"/>
    </w:pPr>
    <w:rPr>
      <w:rFonts w:asciiTheme="minorHAnsi" w:hAnsiTheme="minorHAnsi"/>
    </w:rPr>
  </w:style>
  <w:style w:type="character" w:styleId="BookTitle">
    <w:name w:val="Book Title"/>
    <w:basedOn w:val="DefaultParagraphFont"/>
    <w:uiPriority w:val="33"/>
    <w:qFormat/>
    <w:rsid w:val="00C41E27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2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pcon.net/4871/English/Certification/Timber_legality_servic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CSouque</dc:creator>
  <cp:lastModifiedBy>CSouque</cp:lastModifiedBy>
  <cp:revision>3</cp:revision>
  <dcterms:created xsi:type="dcterms:W3CDTF">2014-06-19T18:55:00Z</dcterms:created>
  <dcterms:modified xsi:type="dcterms:W3CDTF">2014-06-19T18:58:00Z</dcterms:modified>
</cp:coreProperties>
</file>