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D3" w:rsidRDefault="00517AD3">
      <w:bookmarkStart w:id="0" w:name="_GoBack"/>
      <w:bookmarkEnd w:id="0"/>
      <w:r>
        <w:t>The below template has been provided as</w:t>
      </w:r>
      <w:r w:rsidR="009A5A7A">
        <w:t xml:space="preserve"> a tool and as</w:t>
      </w:r>
      <w:r>
        <w:t xml:space="preserve"> guidance to enable </w:t>
      </w:r>
      <w:r w:rsidR="009A5A7A">
        <w:t xml:space="preserve">different </w:t>
      </w:r>
      <w:r>
        <w:t xml:space="preserve">parts of Network Rail to define what their current processes, task and activities </w:t>
      </w:r>
      <w:r w:rsidR="009A5A7A">
        <w:t>are and how they contribute to Network Rail has a whole discharging our Client duties under the CDM Regulations 2015. A similar exercise and RACI is likely to be required where a business area fulfils duties as a Principal Design, Principal Contractor or Designer.  The headings in blue are Client requirements from the text of the CDM Regulations 2015, while the sub-headings (1a, 1b, 1c) are given as examples that will need to be replaced with the actual tasks undertaken in the individual part of the business</w:t>
      </w:r>
      <w:r w:rsidR="00B43132">
        <w:t xml:space="preserve"> – the list is not complete.</w:t>
      </w:r>
      <w:r w:rsidR="009A5A7A">
        <w:t xml:space="preserve"> The details of the task and processes should not be recorded in </w:t>
      </w:r>
      <w:r w:rsidR="005B06E5">
        <w:t xml:space="preserve">the RACI chart, but sign post </w:t>
      </w:r>
      <w:r w:rsidR="009A5A7A">
        <w:t xml:space="preserve">to existing documents or new documents as required. The RACI is about visualising and recording who </w:t>
      </w:r>
      <w:r w:rsidR="005B06E5">
        <w:t>are;</w:t>
      </w:r>
      <w:r w:rsidR="009A5A7A">
        <w:t xml:space="preserve"> Accountable, Responsible and who needs to be informed and consulted.</w:t>
      </w:r>
    </w:p>
    <w:tbl>
      <w:tblPr>
        <w:tblW w:w="2094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5778"/>
        <w:gridCol w:w="15168"/>
      </w:tblGrid>
      <w:tr w:rsidR="00CA0BD5" w:rsidRPr="00806880" w:rsidTr="00806880">
        <w:tc>
          <w:tcPr>
            <w:tcW w:w="577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A0BD5" w:rsidRPr="00806880" w:rsidRDefault="00CA0BD5" w:rsidP="00806880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806880">
              <w:rPr>
                <w:rFonts w:ascii="Arial" w:hAnsi="Arial" w:cs="Arial"/>
                <w:b/>
                <w:bCs/>
                <w:color w:val="365F91"/>
              </w:rPr>
              <w:t>Network Rail Business Area covered by this RACI:</w:t>
            </w:r>
          </w:p>
        </w:tc>
        <w:tc>
          <w:tcPr>
            <w:tcW w:w="1516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A0BD5" w:rsidRPr="00806880" w:rsidRDefault="00CA0BD5" w:rsidP="00806880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  <w:tr w:rsidR="00CA0BD5" w:rsidRPr="00806880" w:rsidTr="00806880">
        <w:tc>
          <w:tcPr>
            <w:tcW w:w="5778" w:type="dxa"/>
            <w:tcBorders>
              <w:left w:val="nil"/>
              <w:bottom w:val="single" w:sz="8" w:space="0" w:color="4F81BD"/>
              <w:right w:val="nil"/>
            </w:tcBorders>
          </w:tcPr>
          <w:p w:rsidR="00CA0BD5" w:rsidRPr="00806880" w:rsidRDefault="00CA0BD5" w:rsidP="00806880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806880">
              <w:rPr>
                <w:rFonts w:ascii="Arial" w:hAnsi="Arial" w:cs="Arial"/>
                <w:b/>
                <w:bCs/>
                <w:color w:val="365F91"/>
              </w:rPr>
              <w:t>Date:</w:t>
            </w:r>
          </w:p>
        </w:tc>
        <w:tc>
          <w:tcPr>
            <w:tcW w:w="15168" w:type="dxa"/>
            <w:tcBorders>
              <w:left w:val="nil"/>
              <w:bottom w:val="single" w:sz="8" w:space="0" w:color="4F81BD"/>
              <w:right w:val="nil"/>
            </w:tcBorders>
          </w:tcPr>
          <w:p w:rsidR="00CA0BD5" w:rsidRPr="00806880" w:rsidRDefault="00CA0BD5" w:rsidP="00806880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806880">
              <w:rPr>
                <w:rFonts w:ascii="Arial" w:hAnsi="Arial" w:cs="Arial"/>
                <w:b/>
                <w:color w:val="365F91"/>
              </w:rPr>
              <w:t>Completed by:</w:t>
            </w:r>
          </w:p>
        </w:tc>
      </w:tr>
    </w:tbl>
    <w:p w:rsidR="00CA0BD5" w:rsidRPr="009D5015" w:rsidRDefault="00CA0BD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7444"/>
        <w:gridCol w:w="617"/>
        <w:gridCol w:w="932"/>
        <w:gridCol w:w="932"/>
        <w:gridCol w:w="932"/>
        <w:gridCol w:w="932"/>
        <w:gridCol w:w="932"/>
        <w:gridCol w:w="932"/>
      </w:tblGrid>
      <w:tr w:rsidR="00B43132" w:rsidRPr="00806880" w:rsidTr="00BB3DA3">
        <w:trPr>
          <w:cantSplit/>
          <w:trHeight w:val="1597"/>
        </w:trPr>
        <w:tc>
          <w:tcPr>
            <w:tcW w:w="584" w:type="dxa"/>
            <w:tcBorders>
              <w:top w:val="nil"/>
              <w:left w:val="nil"/>
              <w:right w:val="nil"/>
            </w:tcBorders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  <w:tcBorders>
              <w:top w:val="nil"/>
              <w:left w:val="nil"/>
            </w:tcBorders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Task / Process</w:t>
            </w:r>
          </w:p>
        </w:tc>
        <w:tc>
          <w:tcPr>
            <w:tcW w:w="617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Key control?</w:t>
            </w:r>
          </w:p>
        </w:tc>
        <w:tc>
          <w:tcPr>
            <w:tcW w:w="932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Job Description Reference</w:t>
            </w:r>
          </w:p>
        </w:tc>
        <w:tc>
          <w:tcPr>
            <w:tcW w:w="932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Job Description Reference</w:t>
            </w:r>
          </w:p>
        </w:tc>
        <w:tc>
          <w:tcPr>
            <w:tcW w:w="932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Job Description Reference</w:t>
            </w:r>
          </w:p>
        </w:tc>
        <w:tc>
          <w:tcPr>
            <w:tcW w:w="932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Job Description Reference</w:t>
            </w:r>
          </w:p>
        </w:tc>
        <w:tc>
          <w:tcPr>
            <w:tcW w:w="932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Job Description Reference</w:t>
            </w:r>
          </w:p>
        </w:tc>
        <w:tc>
          <w:tcPr>
            <w:tcW w:w="932" w:type="dxa"/>
            <w:textDirection w:val="btLr"/>
          </w:tcPr>
          <w:p w:rsidR="00B43132" w:rsidRPr="00806880" w:rsidRDefault="00B43132" w:rsidP="0080688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more as required.</w:t>
            </w: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Define suitable arrangements for managing a project.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  <w:r w:rsidRPr="00806880">
              <w:rPr>
                <w:rFonts w:ascii="Arial" w:hAnsi="Arial" w:cs="Arial"/>
                <w:color w:val="FFFFFF"/>
                <w:sz w:val="24"/>
              </w:rPr>
              <w:t>Y/N</w:t>
            </w: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Completing and maintain a RACI Chart for this part of the business.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detailed set of CDM management arrangements for discharging other duty holder roles – Principal Designer.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detailed set of CDM management arrangements for discharging other duty holder roles – Principal Contractor.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detailed set of CDM management arrangements for discharging the duties of the designer.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1e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detailed set of CDM management arrangements for discharging the duties of the contractor.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1f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project specific CDM Plan – as required by NR/L2/OHS/0047.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1g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transitional arrangements from CDM co-ordinator appointments to Principal Designer appointments (incompliance with schedule 4 of the CDM Regulations 2015).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1h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set of management arrangements for applying the CSM REA risk methodology to design.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5B06E5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1i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set of management arrangements for document management.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1j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set of management arrangements for assurance of CDM activities.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1k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set of management arrangements supported by IT systems, to enable information to be exchanged.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Allocate sufficient time and other resources.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outline programme that is resourced linked for the investment panel to review.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3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Providing welfare facilities for construction works.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3a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5A7A">
              <w:rPr>
                <w:rFonts w:ascii="Arial" w:hAnsi="Arial" w:cs="Arial"/>
              </w:rPr>
              <w:t xml:space="preserve">Review requirements of </w:t>
            </w:r>
            <w:r>
              <w:rPr>
                <w:rFonts w:ascii="Arial" w:hAnsi="Arial" w:cs="Arial"/>
              </w:rPr>
              <w:t>NR/L3/</w:t>
            </w:r>
            <w:r w:rsidRPr="009A5A7A">
              <w:rPr>
                <w:rFonts w:ascii="Arial" w:hAnsi="Arial" w:cs="Arial"/>
              </w:rPr>
              <w:t xml:space="preserve">INI/CP0036 </w:t>
            </w:r>
            <w:r w:rsidRPr="00E707A5">
              <w:rPr>
                <w:rFonts w:ascii="Arial" w:hAnsi="Arial" w:cs="Arial"/>
              </w:rPr>
              <w:t xml:space="preserve">The Provision of Welfare Facilities </w:t>
            </w:r>
            <w:r>
              <w:rPr>
                <w:rFonts w:ascii="Arial" w:hAnsi="Arial" w:cs="Arial"/>
              </w:rPr>
              <w:t>and cost for them in the project budget.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3b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3c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4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Monitoring arrangements to ensure they are maintained.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775FFC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775FFC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4a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4b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lastRenderedPageBreak/>
              <w:t>4c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5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Provide Pre-construction information to all parties involved, including during tender.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Download or request information from</w:t>
            </w:r>
            <w:proofErr w:type="gramStart"/>
            <w:r w:rsidRPr="00806880">
              <w:rPr>
                <w:rFonts w:ascii="Arial" w:hAnsi="Arial" w:cs="Arial"/>
              </w:rPr>
              <w:t>::</w:t>
            </w:r>
            <w:proofErr w:type="gramEnd"/>
            <w:r w:rsidRPr="00806880">
              <w:rPr>
                <w:rFonts w:ascii="Arial" w:hAnsi="Arial" w:cs="Arial"/>
              </w:rPr>
              <w:t xml:space="preserve"> ARMS, Hazard Directory, NRG,  and other internal and external sources.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Review available information and list hazards in project specific Hazard Record.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List missing information a</w:t>
            </w:r>
            <w:r>
              <w:rPr>
                <w:rFonts w:ascii="Arial" w:hAnsi="Arial" w:cs="Arial"/>
              </w:rPr>
              <w:t>nd determine how to procure it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 xml:space="preserve">Procure missing </w:t>
            </w:r>
            <w:r>
              <w:rPr>
                <w:rFonts w:ascii="Arial" w:hAnsi="Arial" w:cs="Arial"/>
              </w:rPr>
              <w:t>information / check we have received it.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5e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Prepare presentation and brief the hazards to parties who need to be informed.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5f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PCIP document using Form NR/L2/OHS/0047/F0002.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5g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Identify all parties who need to be provided with the information.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5h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Provide information / record on transmittal.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6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A construction phase plan is created by the Principal Contractor before the construction phase.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6a</w:t>
            </w:r>
          </w:p>
        </w:tc>
        <w:tc>
          <w:tcPr>
            <w:tcW w:w="7444" w:type="dxa"/>
          </w:tcPr>
          <w:p w:rsidR="00B43132" w:rsidRPr="00806880" w:rsidRDefault="00B43132" w:rsidP="00E707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construction phase plan for adequacy.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6b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 construction phase plan.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6c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7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 xml:space="preserve">Ensure a Principal Designer Prepares </w:t>
            </w:r>
            <w:proofErr w:type="gramStart"/>
            <w:r w:rsidRPr="00806880">
              <w:rPr>
                <w:rFonts w:ascii="Arial" w:hAnsi="Arial" w:cs="Arial"/>
                <w:b/>
                <w:color w:val="FFFFFF"/>
                <w:sz w:val="24"/>
              </w:rPr>
              <w:t>a</w:t>
            </w:r>
            <w:proofErr w:type="gramEnd"/>
            <w:r w:rsidRPr="00806880">
              <w:rPr>
                <w:rFonts w:ascii="Arial" w:hAnsi="Arial" w:cs="Arial"/>
                <w:b/>
                <w:color w:val="FFFFFF"/>
                <w:sz w:val="24"/>
              </w:rPr>
              <w:t xml:space="preserve"> H&amp;S File for the project, and its content is revised during the project.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8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Ensure a Principal Designer Prepares keeps the H&amp;S file available for inspection by all project parties.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</w:p>
        </w:tc>
        <w:tc>
          <w:tcPr>
            <w:tcW w:w="744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E707A5">
              <w:rPr>
                <w:rFonts w:ascii="Arial" w:hAnsi="Arial" w:cs="Arial"/>
              </w:rPr>
              <w:t xml:space="preserve">Completed H&amp;S deliverables matrix as per </w:t>
            </w:r>
            <w:hyperlink r:id="rId7" w:history="1">
              <w:r w:rsidRPr="00E707A5">
                <w:t>NR/L2/INF/02202</w:t>
              </w:r>
            </w:hyperlink>
            <w:r>
              <w:rPr>
                <w:rFonts w:ascii="Arial" w:hAnsi="Arial" w:cs="Arial"/>
              </w:rPr>
              <w:t>, and make a contractual requirement.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9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Check and monitor an appointed Principal Designer is complying with their duties in regulation 11.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E707A5">
              <w:rPr>
                <w:rFonts w:ascii="Arial" w:hAnsi="Arial" w:cs="Arial"/>
              </w:rPr>
              <w:t>9a</w:t>
            </w:r>
          </w:p>
        </w:tc>
        <w:tc>
          <w:tcPr>
            <w:tcW w:w="7444" w:type="dxa"/>
          </w:tcPr>
          <w:p w:rsidR="00B43132" w:rsidRPr="00B43132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weekly review meeting with Principal Designer.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E707A5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10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Check and monitor an appointment Principal Contractor is complying with their duties in regulation 12 to 14.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11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Handover of the H&amp;S File where disposing of an interest in a structure.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Asset Management Plan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12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Defining the interface arrangements with other parts of Network Rail who discharges Client’s duties.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12a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list of safety information that needs to be exchanged with other parts of Network Rail.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12b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Request and provide safety information to other parts of Network Rail.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347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347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lastRenderedPageBreak/>
              <w:t>12c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/ Manage the safety information exchange process.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347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347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12d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Sign CDM Plan to confirm transfer of the “active Client”.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347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347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13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Define who the Client is, with 3</w:t>
            </w:r>
            <w:r w:rsidRPr="00806880">
              <w:rPr>
                <w:rFonts w:ascii="Arial" w:hAnsi="Arial" w:cs="Arial"/>
                <w:b/>
                <w:color w:val="FFFFFF"/>
                <w:sz w:val="24"/>
                <w:vertAlign w:val="superscript"/>
              </w:rPr>
              <w:t>rd</w:t>
            </w:r>
            <w:r w:rsidRPr="00806880">
              <w:rPr>
                <w:rFonts w:ascii="Arial" w:hAnsi="Arial" w:cs="Arial"/>
                <w:b/>
                <w:color w:val="FFFFFF"/>
                <w:sz w:val="24"/>
              </w:rPr>
              <w:t xml:space="preserve"> party Client organisations.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13a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Create a CDM Client Memorandum of Agreement document.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13b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Authorise the CDM Client Memorandum of Agreement.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14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Appoint a designer as the Principal Designer in writing.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14a</w:t>
            </w:r>
          </w:p>
        </w:tc>
        <w:tc>
          <w:tcPr>
            <w:tcW w:w="7444" w:type="dxa"/>
          </w:tcPr>
          <w:p w:rsidR="00B43132" w:rsidRPr="00806880" w:rsidRDefault="00B43132" w:rsidP="006123C3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Sign contract and remit appointment with external organisation.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14b</w:t>
            </w:r>
          </w:p>
        </w:tc>
        <w:tc>
          <w:tcPr>
            <w:tcW w:w="7444" w:type="dxa"/>
          </w:tcPr>
          <w:p w:rsidR="00B43132" w:rsidRPr="00806880" w:rsidRDefault="00B43132" w:rsidP="006123C3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 xml:space="preserve">Sign remit and scope with other part of Network Rail  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</w:t>
            </w:r>
          </w:p>
        </w:tc>
        <w:tc>
          <w:tcPr>
            <w:tcW w:w="7444" w:type="dxa"/>
          </w:tcPr>
          <w:p w:rsidR="00B43132" w:rsidRPr="00806880" w:rsidRDefault="00B43132" w:rsidP="006123C3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when the appointment should be made, and review performance in achieving this.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15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Appoint a contractor as the Principal Contractor in writing.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and confirm the PC has a current and valid PC license.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B43132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Sign contract and remit appointment with external organisation.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 xml:space="preserve">Sign remit and scope with other part of Network Rail  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when the appointment should be made, and review performance in achieving this.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16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Send notice to HSE/ORR for notifiable projects.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16a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Complete online form.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16b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Save pdf of completed form to document management system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16c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clients declaration</w:t>
            </w:r>
            <w:r w:rsidRPr="00806880">
              <w:rPr>
                <w:rFonts w:ascii="Arial" w:hAnsi="Arial" w:cs="Arial"/>
              </w:rPr>
              <w:t xml:space="preserve"> on behalf of Network Rail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16d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Send PDF copy to parties involved in the project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16e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inspection plan, and inspect that the notification is on display in the construction site office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16d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F10 when appointments or other details change.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17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Make an assessment of the organisational capability of duty holder appointments.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PD organisational capability assessment template.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18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Manage interfaces between projects.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possession planning.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19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Reporting of anything that is likely to endanger H&amp;S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19a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Report physical hazard through the close call system.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19b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local process for reporting physical dangers for immediate action.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19c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design safety issue escalation process.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19d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Manage design safety escalation process.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20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Review that information provided is comprehensible and timely.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20a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audit / review programme to assess quality of information.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20b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Define audit / review programme to assess the timeliness of information provision.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21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Review of the skills, knowledge and experience of staff assigned RACI tasks / processes.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21a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06880">
              <w:rPr>
                <w:rFonts w:ascii="Arial" w:hAnsi="Arial" w:cs="Arial"/>
              </w:rPr>
              <w:t>AiTL</w:t>
            </w:r>
            <w:proofErr w:type="spellEnd"/>
            <w:r w:rsidRPr="00806880">
              <w:rPr>
                <w:rFonts w:ascii="Arial" w:hAnsi="Arial" w:cs="Arial"/>
              </w:rPr>
              <w:t xml:space="preserve"> / annual performance review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21b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22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Identify where designs are commissioned outside of GB.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22a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22b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23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Appoint Client’s Representative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23a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Complete NR/L2/PHS0047/F0001 form for CDM Representatives.</w:t>
            </w: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23b</w:t>
            </w: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Assess the skills, knowledge and experience of staff assigned as Client’s Rep</w:t>
            </w:r>
            <w:r>
              <w:rPr>
                <w:rFonts w:ascii="Arial" w:hAnsi="Arial" w:cs="Arial"/>
              </w:rPr>
              <w:t xml:space="preserve">resentative using </w:t>
            </w:r>
            <w:proofErr w:type="gramStart"/>
            <w:r>
              <w:rPr>
                <w:rFonts w:ascii="Arial" w:hAnsi="Arial" w:cs="Arial"/>
              </w:rPr>
              <w:t xml:space="preserve">template </w:t>
            </w:r>
            <w:r w:rsidRPr="00806880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24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Setting H&amp;S outputs / requirements</w:t>
            </w: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 w:rsidRPr="00806880">
              <w:rPr>
                <w:rFonts w:ascii="Arial" w:hAnsi="Arial" w:cs="Arial"/>
              </w:rPr>
              <w:t>24a</w:t>
            </w:r>
          </w:p>
        </w:tc>
        <w:tc>
          <w:tcPr>
            <w:tcW w:w="7444" w:type="dxa"/>
          </w:tcPr>
          <w:p w:rsidR="00B43132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the Requirements Engineering process.</w:t>
            </w:r>
          </w:p>
          <w:p w:rsidR="00B43132" w:rsidRDefault="00F17369" w:rsidP="00806880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B43132" w:rsidRPr="00415462">
                <w:rPr>
                  <w:rStyle w:val="Hyperlink"/>
                  <w:sz w:val="22"/>
                  <w:szCs w:val="22"/>
                </w:rPr>
                <w:t>http://connect/communities/requirements-engineering/default.aspx</w:t>
              </w:r>
            </w:hyperlink>
          </w:p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25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44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132" w:rsidRPr="00806880" w:rsidTr="00BB3DA3">
        <w:tc>
          <w:tcPr>
            <w:tcW w:w="58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  <w:r w:rsidRPr="00806880">
              <w:rPr>
                <w:rFonts w:ascii="Arial" w:hAnsi="Arial" w:cs="Arial"/>
                <w:b/>
                <w:color w:val="FFFFFF"/>
                <w:sz w:val="24"/>
              </w:rPr>
              <w:t>26</w:t>
            </w:r>
          </w:p>
        </w:tc>
        <w:tc>
          <w:tcPr>
            <w:tcW w:w="7444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</w:rPr>
            </w:pPr>
          </w:p>
        </w:tc>
        <w:tc>
          <w:tcPr>
            <w:tcW w:w="617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  <w:vAlign w:val="center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932" w:type="dxa"/>
            <w:shd w:val="clear" w:color="auto" w:fill="4F81BD"/>
          </w:tcPr>
          <w:p w:rsidR="00B43132" w:rsidRPr="00806880" w:rsidRDefault="00B43132" w:rsidP="0080688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</w:tbl>
    <w:p w:rsidR="00CA0BD5" w:rsidRPr="009D5015" w:rsidRDefault="00CA0BD5">
      <w:pPr>
        <w:rPr>
          <w:rFonts w:ascii="Arial" w:hAnsi="Arial" w:cs="Arial"/>
        </w:rPr>
      </w:pPr>
    </w:p>
    <w:sectPr w:rsidR="00CA0BD5" w:rsidRPr="009D5015" w:rsidSect="009D5015">
      <w:headerReference w:type="default" r:id="rId9"/>
      <w:footerReference w:type="default" r:id="rId10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8A" w:rsidRDefault="002E348A" w:rsidP="00CC1C78">
      <w:pPr>
        <w:spacing w:after="0" w:line="240" w:lineRule="auto"/>
      </w:pPr>
      <w:r>
        <w:separator/>
      </w:r>
    </w:p>
  </w:endnote>
  <w:endnote w:type="continuationSeparator" w:id="0">
    <w:p w:rsidR="002E348A" w:rsidRDefault="002E348A" w:rsidP="00CC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86" w:rsidRDefault="00A43E86" w:rsidP="00A43E8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369">
      <w:rPr>
        <w:noProof/>
      </w:rPr>
      <w:t>1</w:t>
    </w:r>
    <w:r>
      <w:rPr>
        <w:noProof/>
      </w:rPr>
      <w:fldChar w:fldCharType="end"/>
    </w:r>
    <w:r>
      <w:t xml:space="preserve"> | </w:t>
    </w:r>
    <w:r w:rsidRPr="00A43E86">
      <w:rPr>
        <w:color w:val="808080"/>
        <w:spacing w:val="60"/>
      </w:rPr>
      <w:t>Page</w:t>
    </w:r>
  </w:p>
  <w:p w:rsidR="00A43E86" w:rsidRDefault="00A43E86">
    <w:pPr>
      <w:pStyle w:val="Footer"/>
    </w:pPr>
    <w:r>
      <w:t xml:space="preserve">Email suggestions for improvement to </w:t>
    </w:r>
    <w:hyperlink r:id="rId1" w:history="1">
      <w:r w:rsidRPr="00A43E86">
        <w:rPr>
          <w:rStyle w:val="Hyperlink"/>
          <w:rFonts w:ascii="Calibri" w:hAnsi="Calibri" w:cs="Times New Roman"/>
        </w:rPr>
        <w:t>CDM2015@networkrail.co.uk</w:t>
      </w:r>
    </w:hyperlink>
    <w:r>
      <w:t xml:space="preserve"> </w:t>
    </w:r>
  </w:p>
  <w:p w:rsidR="00767358" w:rsidRDefault="00767358">
    <w:pPr>
      <w:pStyle w:val="Footer"/>
    </w:pPr>
    <w:r>
      <w:t>Version 1 /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8A" w:rsidRDefault="002E348A" w:rsidP="00CC1C78">
      <w:pPr>
        <w:spacing w:after="0" w:line="240" w:lineRule="auto"/>
      </w:pPr>
      <w:r>
        <w:separator/>
      </w:r>
    </w:p>
  </w:footnote>
  <w:footnote w:type="continuationSeparator" w:id="0">
    <w:p w:rsidR="002E348A" w:rsidRDefault="002E348A" w:rsidP="00CC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D5" w:rsidRPr="00A43E86" w:rsidRDefault="00F2284A" w:rsidP="00A43E86">
    <w:pPr>
      <w:pStyle w:val="Title"/>
      <w:rPr>
        <w:b/>
        <w:sz w:val="4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11407775</wp:posOffset>
          </wp:positionH>
          <wp:positionV relativeFrom="paragraph">
            <wp:posOffset>-278130</wp:posOffset>
          </wp:positionV>
          <wp:extent cx="1835785" cy="615315"/>
          <wp:effectExtent l="0" t="0" r="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C37" w:rsidRPr="00D12EDA">
      <w:t xml:space="preserve">CDM </w:t>
    </w:r>
    <w:r w:rsidR="00DB1C37">
      <w:t>2015 Client Duties – RACI Template &amp; Example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78"/>
    <w:rsid w:val="00031A0C"/>
    <w:rsid w:val="000344AB"/>
    <w:rsid w:val="000A6424"/>
    <w:rsid w:val="000F0457"/>
    <w:rsid w:val="001032D6"/>
    <w:rsid w:val="00241D61"/>
    <w:rsid w:val="00295FDB"/>
    <w:rsid w:val="002A657E"/>
    <w:rsid w:val="002E348A"/>
    <w:rsid w:val="0030029C"/>
    <w:rsid w:val="0034797F"/>
    <w:rsid w:val="00397112"/>
    <w:rsid w:val="0041439B"/>
    <w:rsid w:val="00415782"/>
    <w:rsid w:val="00431CAB"/>
    <w:rsid w:val="004B17CE"/>
    <w:rsid w:val="004D00DA"/>
    <w:rsid w:val="00517AD3"/>
    <w:rsid w:val="00542CE6"/>
    <w:rsid w:val="005A7CE3"/>
    <w:rsid w:val="005B06E5"/>
    <w:rsid w:val="005C3D7B"/>
    <w:rsid w:val="006139D2"/>
    <w:rsid w:val="006746AC"/>
    <w:rsid w:val="006B197D"/>
    <w:rsid w:val="00731703"/>
    <w:rsid w:val="00767358"/>
    <w:rsid w:val="00767494"/>
    <w:rsid w:val="007745AA"/>
    <w:rsid w:val="00775FFC"/>
    <w:rsid w:val="00806880"/>
    <w:rsid w:val="00874ED7"/>
    <w:rsid w:val="009A5A7A"/>
    <w:rsid w:val="009B6030"/>
    <w:rsid w:val="009D5015"/>
    <w:rsid w:val="00A01371"/>
    <w:rsid w:val="00A43E86"/>
    <w:rsid w:val="00AE2AB5"/>
    <w:rsid w:val="00B412EF"/>
    <w:rsid w:val="00B43132"/>
    <w:rsid w:val="00B52265"/>
    <w:rsid w:val="00BF29AB"/>
    <w:rsid w:val="00C357A6"/>
    <w:rsid w:val="00C91E95"/>
    <w:rsid w:val="00CA0BD5"/>
    <w:rsid w:val="00CC1C78"/>
    <w:rsid w:val="00D12EDA"/>
    <w:rsid w:val="00D43B54"/>
    <w:rsid w:val="00DB1C37"/>
    <w:rsid w:val="00DD523E"/>
    <w:rsid w:val="00E328B2"/>
    <w:rsid w:val="00E36B6D"/>
    <w:rsid w:val="00E707A5"/>
    <w:rsid w:val="00EA6904"/>
    <w:rsid w:val="00ED0487"/>
    <w:rsid w:val="00F17369"/>
    <w:rsid w:val="00F2284A"/>
    <w:rsid w:val="00F7461D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E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9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9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29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BF29AB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CC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C1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C1C78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C1C78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CC1C78"/>
    <w:rPr>
      <w:rFonts w:ascii="Arial" w:hAnsi="Arial" w:cs="Arial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CC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CC1C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A43E86"/>
    <w:rPr>
      <w:rFonts w:ascii="Arial" w:hAnsi="Arial" w:cs="Arial" w:hint="default"/>
      <w:strike w:val="0"/>
      <w:dstrike w:val="0"/>
      <w:color w:val="0480A6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E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9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9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29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BF29AB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CC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C1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C1C78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C1C78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CC1C78"/>
    <w:rPr>
      <w:rFonts w:ascii="Arial" w:hAnsi="Arial" w:cs="Arial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CC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CC1C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A43E86"/>
    <w:rPr>
      <w:rFonts w:ascii="Arial" w:hAnsi="Arial" w:cs="Arial" w:hint="default"/>
      <w:strike w:val="0"/>
      <w:dstrike w:val="0"/>
      <w:color w:val="0480A6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/communities/requirements-engineering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workrailstandards/BSI/StandardHeaderView.aspx?id=204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M2015@networkra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7317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2016-03-16T08:43:00Z</dcterms:created>
  <dcterms:modified xsi:type="dcterms:W3CDTF">2016-03-16T08:43:00Z</dcterms:modified>
</cp:coreProperties>
</file>